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2C624" w14:textId="77777777" w:rsidR="000F317E" w:rsidRPr="008432CB" w:rsidRDefault="000F317E" w:rsidP="000F317E">
      <w:pPr>
        <w:rPr>
          <w:rFonts w:cstheme="minorHAnsi"/>
          <w:w w:val="105"/>
          <w:sz w:val="24"/>
          <w:szCs w:val="24"/>
        </w:rPr>
      </w:pPr>
      <w:r w:rsidRPr="008432CB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8432CB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8432CB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8432CB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5B981876" w14:textId="77777777" w:rsidR="000F317E" w:rsidRPr="008432CB" w:rsidRDefault="000F317E" w:rsidP="000F317E">
      <w:pPr>
        <w:rPr>
          <w:rFonts w:cstheme="minorHAnsi"/>
          <w:b/>
          <w:bCs/>
          <w:w w:val="105"/>
          <w:sz w:val="24"/>
          <w:szCs w:val="24"/>
        </w:rPr>
      </w:pPr>
      <w:r w:rsidRPr="008432CB">
        <w:rPr>
          <w:rFonts w:cstheme="minorHAnsi"/>
          <w:b/>
          <w:bCs/>
          <w:w w:val="105"/>
          <w:sz w:val="24"/>
          <w:szCs w:val="24"/>
        </w:rPr>
        <w:t>________</w:t>
      </w:r>
    </w:p>
    <w:p w14:paraId="3A06C522" w14:textId="6DFB2734" w:rsidR="00737856" w:rsidRPr="008432CB" w:rsidRDefault="00737856" w:rsidP="00737856">
      <w:pPr>
        <w:rPr>
          <w:rFonts w:cstheme="minorHAnsi"/>
          <w:b/>
          <w:sz w:val="24"/>
          <w:szCs w:val="24"/>
        </w:rPr>
      </w:pPr>
      <w:r w:rsidRPr="008432CB">
        <w:rPr>
          <w:rFonts w:cstheme="minorHAnsi"/>
          <w:b/>
          <w:bCs/>
          <w:w w:val="105"/>
          <w:sz w:val="24"/>
          <w:szCs w:val="24"/>
        </w:rPr>
        <w:t xml:space="preserve">ANEXO 8 – Formulário de classificação da natureza da deficiência </w:t>
      </w:r>
    </w:p>
    <w:p w14:paraId="30C5715C" w14:textId="77777777" w:rsidR="00737856" w:rsidRPr="008432CB" w:rsidRDefault="00737856" w:rsidP="00737856">
      <w:pPr>
        <w:rPr>
          <w:rFonts w:cstheme="minorHAnsi"/>
          <w:b/>
        </w:rPr>
      </w:pPr>
    </w:p>
    <w:p w14:paraId="45246184" w14:textId="77777777" w:rsidR="008432CB" w:rsidRPr="00691CF2" w:rsidRDefault="008432CB" w:rsidP="009233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Atestado de uso exclusivo e restrito da Escola Nacional de Administração Pública (Enap) para classificar a natureza da deficiência do(a) candidato(a) para vaga reservada às pessoas com deficiência no processo seletivo para a ________________ Turma do Curso de Mestrado Profissional em ______________________________________, realizado em 2020.</w:t>
      </w:r>
    </w:p>
    <w:p w14:paraId="52D3BB03" w14:textId="352CA1EA" w:rsidR="008432CB" w:rsidRPr="00691CF2" w:rsidRDefault="008432CB" w:rsidP="0092334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Atesto que_____________</w:t>
      </w:r>
      <w:r w:rsidR="00923347">
        <w:rPr>
          <w:rFonts w:eastAsia="Times New Roman" w:cstheme="minorHAnsi"/>
          <w:color w:val="000000"/>
          <w:sz w:val="24"/>
          <w:szCs w:val="24"/>
          <w:lang w:eastAsia="pt-BR"/>
        </w:rPr>
        <w:t>_______</w:t>
      </w:r>
      <w:bookmarkStart w:id="0" w:name="_GoBack"/>
      <w:bookmarkEnd w:id="0"/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_________________________________________, CPF______________________________, nascido(a) em _____/______/_____ apresenta a natureza da deficiência descrita no quadro abaixo:</w:t>
      </w:r>
    </w:p>
    <w:p w14:paraId="1FBA3C28" w14:textId="77777777" w:rsidR="008432CB" w:rsidRPr="00691CF2" w:rsidRDefault="008432CB" w:rsidP="008432C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1CF2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5563"/>
        <w:gridCol w:w="955"/>
        <w:gridCol w:w="582"/>
      </w:tblGrid>
      <w:tr w:rsidR="008432CB" w:rsidRPr="00691CF2" w14:paraId="519882F3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28ABF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Natureza da Deficiência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8E69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 da Natureza da Deficiência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47DC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Registro</w:t>
            </w:r>
          </w:p>
          <w:p w14:paraId="4E1E841C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“X”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0110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CID 10</w:t>
            </w:r>
          </w:p>
        </w:tc>
      </w:tr>
      <w:tr w:rsidR="008432CB" w:rsidRPr="00691CF2" w14:paraId="27982FAF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490B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758FF67F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</w:t>
            </w:r>
          </w:p>
          <w:p w14:paraId="2EF04D50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D48C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Alteração completa ou parcial de um ou mais segmentos do corpo humano, acarretando o comprometimento da função física, apresentando-se sob a forma de paraplegia, paraparesia, monoplegia, monoparesia, tetraplegia, tetraparesia, </w:t>
            </w:r>
            <w:proofErr w:type="spellStart"/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triplegia</w:t>
            </w:r>
            <w:proofErr w:type="spellEnd"/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, triparesia, hemiplegia, hemiparesia, ostomia, amputação ou ausência de membro, paralisia cerebral, nanismo, membros com deformidade congênita ou adquirida, exceto as deformidades estéticas e as que não produzam dificuldades para o desempenho de funções (Decreto 5.296/20004)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DA9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F978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2BD9142B" w14:textId="77777777" w:rsidTr="00CA6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242B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 Auditiva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460F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Perda bilateral: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 parcial ou total, de quarenta e um decibéis (dB) ou mais, aferida por audiograma nas </w:t>
            </w:r>
            <w:proofErr w:type="spellStart"/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freqüências</w:t>
            </w:r>
            <w:proofErr w:type="spellEnd"/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500Hz, 1.000Hz, 2.000Hz e 3.000Hz (Decreto 5.296/20004)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8F6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6596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090E102D" w14:textId="77777777" w:rsidTr="00CA6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85F2" w14:textId="77777777" w:rsidR="008432CB" w:rsidRPr="00691CF2" w:rsidRDefault="008432CB" w:rsidP="00CA6E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63F6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Perda Unilateral: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Quanto à lateralidade Bilateral: apresenta perda auditiva em apenas uma das orelhas (Conselho Federal de Fonoaudiologia)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C669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6F28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4DF99CDC" w14:textId="77777777" w:rsidTr="00CA6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3C20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 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9727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Cegueira: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na qual a acuidade visual é igual ou menor que 0,05 no melhor olho, com a melhor correção óptica (Decreto 5.296/20004)</w:t>
            </w:r>
          </w:p>
          <w:p w14:paraId="1B6D9301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4D0D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D4B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5A30C64A" w14:textId="77777777" w:rsidTr="00CA6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88D9" w14:textId="77777777" w:rsidR="008432CB" w:rsidRPr="00691CF2" w:rsidRDefault="008432CB" w:rsidP="00CA6E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E05F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Baixa Visão: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que significa acuidade visual entre 0,3 e 0,05 no melhor olho, com a melhor correção óptica; os casos nos quais a somatória da medida do campo visual em ambos os olhos for igual ou menor que 60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; ou a ocorrência simultânea de quaisquer das condições anteriores. (Decreto 5.296/20004)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79F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C2629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44511519" w14:textId="77777777" w:rsidTr="00CA6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E518" w14:textId="77777777" w:rsidR="008432CB" w:rsidRPr="00691CF2" w:rsidRDefault="008432CB" w:rsidP="00CA6E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85E4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Visão monocular:</w:t>
            </w: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Presença de visão normal em um olho e cegueira no olho contralateral – acuidade visual inferior a 20/400 com a melhor correção visual (Conselho Brasileiro de Oftalmologia).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29D6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BE7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31D06DA5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395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 Intelectual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AE57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 Intelectual:  funcionamento intelectual significativamente inferior à média, com manifestação antes dos dezoito anos e limitações associadas a duas ou mais áreas de habilidades adaptativas, tais como: Comunicação; Cuidado pessoal; Habilidades sociais; Utilização dos recursos da comunidade; Saúde e Segurança; Habilidades acadêmicas; Lazer; e trabalho (Decreto 5.296/20004)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F43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5AC4FB54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A53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1BD0142F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1DCC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Deficiência Múltipla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2E031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Associação de duas ou mais deficiências (Decreto 5.296/20004)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A3C7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AB2F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77C33A8B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04F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Transtorno Mental</w:t>
            </w:r>
          </w:p>
          <w:p w14:paraId="4101A8C2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3E314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Diagnóstico estabelecido com base no Manual Diagnóstico e Estatístico de Transtornos Mentais - DSM - 5ª Edição. (Associação Psiquiátrica Americana)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76D8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0A9E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789C4CCD" w14:textId="77777777" w:rsidTr="00CA6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9DD1C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Transtorno do Espectro do Autismo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4353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Diagnóstico estabelecido com base no Manual Diagnóstico e Estatístico de Transtornos Mentais - DSM  5ª Edição. (Associação Psiquiátrica Americana)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C448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   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E508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32CB" w:rsidRPr="00691CF2" w14:paraId="16AA13B1" w14:textId="77777777" w:rsidTr="00CA6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6011" w14:textId="77777777" w:rsidR="008432CB" w:rsidRPr="00691CF2" w:rsidRDefault="008432CB" w:rsidP="008432CB">
            <w:pPr>
              <w:numPr>
                <w:ilvl w:val="0"/>
                <w:numId w:val="12"/>
              </w:numPr>
              <w:spacing w:before="120" w:after="120" w:line="240" w:lineRule="auto"/>
              <w:ind w:left="840" w:right="120" w:firstLine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 registro da natureza da deficiência deverá ser atestado por um profissional da área da medicina.</w:t>
            </w:r>
          </w:p>
          <w:p w14:paraId="43E12EF0" w14:textId="77777777" w:rsidR="008432CB" w:rsidRPr="00691CF2" w:rsidRDefault="008432CB" w:rsidP="008432CB">
            <w:pPr>
              <w:numPr>
                <w:ilvl w:val="0"/>
                <w:numId w:val="12"/>
              </w:numPr>
              <w:spacing w:before="120" w:after="120" w:line="240" w:lineRule="auto"/>
              <w:ind w:left="840" w:right="120" w:firstLine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 registro de natureza da deficiência intelectual poderá ser atestado por um profissional da área da medicina e da psicologia.</w:t>
            </w:r>
          </w:p>
          <w:p w14:paraId="30D280F5" w14:textId="77777777" w:rsidR="008432CB" w:rsidRPr="00691CF2" w:rsidRDefault="008432CB" w:rsidP="008432CB">
            <w:pPr>
              <w:numPr>
                <w:ilvl w:val="0"/>
                <w:numId w:val="12"/>
              </w:numPr>
              <w:spacing w:before="120" w:after="120" w:line="240" w:lineRule="auto"/>
              <w:ind w:left="840" w:right="120" w:firstLine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 registro de natureza da deficiência auditiva poderá ser atestado por um profissional da área da medicina e da fonoaudiologia.</w:t>
            </w:r>
          </w:p>
        </w:tc>
      </w:tr>
      <w:tr w:rsidR="008432CB" w:rsidRPr="00691CF2" w14:paraId="356AB336" w14:textId="77777777" w:rsidTr="00CA6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3B3B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5766F650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24043787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50D2EF10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14:paraId="472A1B6B" w14:textId="77777777" w:rsidR="008432CB" w:rsidRPr="00691CF2" w:rsidRDefault="008432CB" w:rsidP="00CA6ED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91C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Nome do Profissional/Assinatura/Carimbo/Registro no Conselho Profissional</w:t>
            </w:r>
          </w:p>
        </w:tc>
      </w:tr>
    </w:tbl>
    <w:p w14:paraId="5969E234" w14:textId="77777777" w:rsidR="008432CB" w:rsidRPr="00691CF2" w:rsidRDefault="008432CB" w:rsidP="008432CB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A387F72" w14:textId="5533F3FF" w:rsidR="0088761D" w:rsidRPr="008432CB" w:rsidRDefault="0088761D" w:rsidP="008432CB">
      <w:pPr>
        <w:rPr>
          <w:rFonts w:cstheme="minorHAnsi"/>
        </w:rPr>
      </w:pPr>
    </w:p>
    <w:sectPr w:rsidR="0088761D" w:rsidRPr="00843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3E0E7" w14:textId="77777777" w:rsidR="00E02E16" w:rsidRDefault="00E02E16" w:rsidP="00603392">
      <w:pPr>
        <w:spacing w:after="0" w:line="240" w:lineRule="auto"/>
      </w:pPr>
      <w:r>
        <w:separator/>
      </w:r>
    </w:p>
  </w:endnote>
  <w:endnote w:type="continuationSeparator" w:id="0">
    <w:p w14:paraId="56119B92" w14:textId="77777777" w:rsidR="00E02E16" w:rsidRDefault="00E02E16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283A" w14:textId="77777777" w:rsidR="000F317E" w:rsidRDefault="000F31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8432CB" w:rsidRDefault="00CD714E" w:rsidP="00CD714E">
    <w:pPr>
      <w:pStyle w:val="Rodap"/>
      <w:rPr>
        <w:rFonts w:cstheme="minorHAnsi"/>
        <w:color w:val="000000" w:themeColor="text1"/>
        <w:sz w:val="14"/>
        <w:szCs w:val="14"/>
      </w:rPr>
    </w:pPr>
    <w:r w:rsidRPr="008432CB">
      <w:rPr>
        <w:rFonts w:cstheme="minorHAnsi"/>
        <w:color w:val="000000" w:themeColor="text1"/>
        <w:w w:val="105"/>
        <w:sz w:val="14"/>
        <w:szCs w:val="14"/>
      </w:rPr>
      <w:t>Escola Nacional de Administração Pública</w:t>
    </w:r>
    <w:r w:rsidR="00502589" w:rsidRPr="008432CB">
      <w:rPr>
        <w:rFonts w:cstheme="minorHAnsi"/>
        <w:color w:val="000000" w:themeColor="text1"/>
        <w:w w:val="105"/>
        <w:sz w:val="14"/>
        <w:szCs w:val="14"/>
      </w:rPr>
      <w:t xml:space="preserve"> </w:t>
    </w:r>
    <w:r w:rsidRPr="008432CB">
      <w:rPr>
        <w:rFonts w:cstheme="minorHAnsi"/>
        <w:color w:val="000000" w:themeColor="text1"/>
        <w:w w:val="105"/>
        <w:sz w:val="14"/>
        <w:szCs w:val="14"/>
      </w:rPr>
      <w:t>| Brasília 30/07/2020.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ED2D" w14:textId="77777777" w:rsidR="000F317E" w:rsidRDefault="000F3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7151" w14:textId="77777777" w:rsidR="00E02E16" w:rsidRDefault="00E02E16" w:rsidP="00603392">
      <w:pPr>
        <w:spacing w:after="0" w:line="240" w:lineRule="auto"/>
      </w:pPr>
      <w:r>
        <w:separator/>
      </w:r>
    </w:p>
  </w:footnote>
  <w:footnote w:type="continuationSeparator" w:id="0">
    <w:p w14:paraId="29078A74" w14:textId="77777777" w:rsidR="00E02E16" w:rsidRDefault="00E02E16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600B" w14:textId="77777777" w:rsidR="000F317E" w:rsidRDefault="000F31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0CE6B795" w:rsidR="00603392" w:rsidRPr="008432CB" w:rsidRDefault="00603392" w:rsidP="00CD714E">
          <w:pPr>
            <w:pStyle w:val="Ttulo1"/>
            <w:spacing w:before="0"/>
            <w:ind w:right="930"/>
            <w:outlineLvl w:val="0"/>
            <w:rPr>
              <w:rFonts w:ascii="Calibri" w:hAnsi="Calibri" w:cs="Calibri"/>
            </w:rPr>
          </w:pPr>
          <w:r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0F317E"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>|</w:t>
          </w:r>
          <w:r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8432CB">
            <w:rPr>
              <w:rFonts w:ascii="Calibri" w:hAnsi="Calibri" w:cs="Calibr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E7F1" w14:textId="77777777" w:rsidR="000F317E" w:rsidRDefault="000F31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3296693D"/>
    <w:multiLevelType w:val="multilevel"/>
    <w:tmpl w:val="1268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7" w15:restartNumberingAfterBreak="0">
    <w:nsid w:val="604C1076"/>
    <w:multiLevelType w:val="hybridMultilevel"/>
    <w:tmpl w:val="791A775E"/>
    <w:lvl w:ilvl="0" w:tplc="E72AD648">
      <w:start w:val="1"/>
      <w:numFmt w:val="decimal"/>
      <w:lvlText w:val="%1."/>
      <w:lvlJc w:val="left"/>
      <w:pPr>
        <w:ind w:left="566" w:hanging="280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35FA0ABA">
      <w:numFmt w:val="bullet"/>
      <w:lvlText w:val="•"/>
      <w:lvlJc w:val="left"/>
      <w:pPr>
        <w:ind w:left="1590" w:hanging="280"/>
      </w:pPr>
      <w:rPr>
        <w:rFonts w:hint="default"/>
      </w:rPr>
    </w:lvl>
    <w:lvl w:ilvl="2" w:tplc="F6081110">
      <w:numFmt w:val="bullet"/>
      <w:lvlText w:val="•"/>
      <w:lvlJc w:val="left"/>
      <w:pPr>
        <w:ind w:left="2620" w:hanging="280"/>
      </w:pPr>
      <w:rPr>
        <w:rFonts w:hint="default"/>
      </w:rPr>
    </w:lvl>
    <w:lvl w:ilvl="3" w:tplc="D684FD10">
      <w:numFmt w:val="bullet"/>
      <w:lvlText w:val="•"/>
      <w:lvlJc w:val="left"/>
      <w:pPr>
        <w:ind w:left="3651" w:hanging="280"/>
      </w:pPr>
      <w:rPr>
        <w:rFonts w:hint="default"/>
      </w:rPr>
    </w:lvl>
    <w:lvl w:ilvl="4" w:tplc="19F07280">
      <w:numFmt w:val="bullet"/>
      <w:lvlText w:val="•"/>
      <w:lvlJc w:val="left"/>
      <w:pPr>
        <w:ind w:left="4681" w:hanging="280"/>
      </w:pPr>
      <w:rPr>
        <w:rFonts w:hint="default"/>
      </w:rPr>
    </w:lvl>
    <w:lvl w:ilvl="5" w:tplc="01D80BE2">
      <w:numFmt w:val="bullet"/>
      <w:lvlText w:val="•"/>
      <w:lvlJc w:val="left"/>
      <w:pPr>
        <w:ind w:left="5712" w:hanging="280"/>
      </w:pPr>
      <w:rPr>
        <w:rFonts w:hint="default"/>
      </w:rPr>
    </w:lvl>
    <w:lvl w:ilvl="6" w:tplc="53D8F598">
      <w:numFmt w:val="bullet"/>
      <w:lvlText w:val="•"/>
      <w:lvlJc w:val="left"/>
      <w:pPr>
        <w:ind w:left="6742" w:hanging="280"/>
      </w:pPr>
      <w:rPr>
        <w:rFonts w:hint="default"/>
      </w:rPr>
    </w:lvl>
    <w:lvl w:ilvl="7" w:tplc="8BA49D02">
      <w:numFmt w:val="bullet"/>
      <w:lvlText w:val="•"/>
      <w:lvlJc w:val="left"/>
      <w:pPr>
        <w:ind w:left="7772" w:hanging="280"/>
      </w:pPr>
      <w:rPr>
        <w:rFonts w:hint="default"/>
      </w:rPr>
    </w:lvl>
    <w:lvl w:ilvl="8" w:tplc="E2102B40">
      <w:numFmt w:val="bullet"/>
      <w:lvlText w:val="•"/>
      <w:lvlJc w:val="left"/>
      <w:pPr>
        <w:ind w:left="8803" w:hanging="280"/>
      </w:pPr>
      <w:rPr>
        <w:rFonts w:hint="default"/>
      </w:rPr>
    </w:lvl>
  </w:abstractNum>
  <w:abstractNum w:abstractNumId="8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015106"/>
    <w:rsid w:val="000F317E"/>
    <w:rsid w:val="001145AB"/>
    <w:rsid w:val="00235352"/>
    <w:rsid w:val="00305334"/>
    <w:rsid w:val="00322BE2"/>
    <w:rsid w:val="003B1568"/>
    <w:rsid w:val="00494A93"/>
    <w:rsid w:val="004A36D9"/>
    <w:rsid w:val="00502589"/>
    <w:rsid w:val="00506F85"/>
    <w:rsid w:val="00553708"/>
    <w:rsid w:val="00577FBF"/>
    <w:rsid w:val="00603392"/>
    <w:rsid w:val="006D581B"/>
    <w:rsid w:val="007134CB"/>
    <w:rsid w:val="00723F9F"/>
    <w:rsid w:val="00737856"/>
    <w:rsid w:val="007B4EB9"/>
    <w:rsid w:val="00833525"/>
    <w:rsid w:val="008432CB"/>
    <w:rsid w:val="008768B6"/>
    <w:rsid w:val="0088761D"/>
    <w:rsid w:val="009057AB"/>
    <w:rsid w:val="009061B3"/>
    <w:rsid w:val="00923347"/>
    <w:rsid w:val="00A217B7"/>
    <w:rsid w:val="00A81F6A"/>
    <w:rsid w:val="00AC6924"/>
    <w:rsid w:val="00AD765F"/>
    <w:rsid w:val="00AE2ABE"/>
    <w:rsid w:val="00B44325"/>
    <w:rsid w:val="00BF2944"/>
    <w:rsid w:val="00C028D5"/>
    <w:rsid w:val="00C8099D"/>
    <w:rsid w:val="00CD714E"/>
    <w:rsid w:val="00E02E16"/>
    <w:rsid w:val="00E37D49"/>
    <w:rsid w:val="00EC60B7"/>
    <w:rsid w:val="00F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0C1D-8F47-4B49-A421-D2E0C5C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18</cp:revision>
  <dcterms:created xsi:type="dcterms:W3CDTF">2020-07-30T18:07:00Z</dcterms:created>
  <dcterms:modified xsi:type="dcterms:W3CDTF">2020-08-04T16:13:00Z</dcterms:modified>
</cp:coreProperties>
</file>