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00000002"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1757363" cy="857250"/>
            <wp:effectExtent l="0" t="0" r="0" b="0"/>
            <wp:docPr id="1" name="image1.png" descr="Interface gráfica do usuário, Aplicativ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png" descr="Interface gráfica do usuário, Aplicativo&#10;&#10;Descrição gerada automaticamente com confiança média"/>
                    <pic:cNvPicPr preferRelativeResize="0"/>
                  </pic:nvPicPr>
                  <pic:blipFill>
                    <a:blip r:embed="rId6"/>
                    <a:srcRect/>
                    <a:stretch>
                      <a:fillRect/>
                    </a:stretch>
                  </pic:blipFill>
                  <pic:spPr>
                    <a:xfrm>
                      <a:off x="0" y="0"/>
                      <a:ext cx="1757363" cy="857250"/>
                    </a:xfrm>
                    <a:prstGeom prst="rect">
                      <a:avLst/>
                    </a:prstGeom>
                    <a:ln/>
                  </pic:spPr>
                </pic:pic>
              </a:graphicData>
            </a:graphic>
          </wp:inline>
        </w:drawing>
      </w:r>
    </w:p>
    <w:p w14:paraId="00000003"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UNIVERSIDADE FUMEC</w:t>
      </w:r>
    </w:p>
    <w:p w14:paraId="00000004"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MESTRADO EM ADMINISTRAÇÃO</w:t>
      </w:r>
    </w:p>
    <w:p w14:paraId="00000005"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p>
    <w:p w14:paraId="00000006"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p>
    <w:p w14:paraId="00000007"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p>
    <w:p w14:paraId="00000008"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p>
    <w:p w14:paraId="00000009"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DANIELA DE SOUZA SILVA</w:t>
      </w:r>
    </w:p>
    <w:p w14:paraId="0000000A"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JUREMA RIBEIRO DE FARIA </w:t>
      </w:r>
    </w:p>
    <w:p w14:paraId="0000000B"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MICHELE VIEIRA PENIDO DE ANDRADE</w:t>
      </w:r>
    </w:p>
    <w:p w14:paraId="0000000C"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b/>
          <w:bCs/>
          <w:color w:val="000000"/>
          <w:sz w:val="24"/>
          <w:szCs w:val="24"/>
        </w:rPr>
      </w:pPr>
    </w:p>
    <w:p w14:paraId="0000000D" w14:textId="6DA1BCDD" w:rsidR="00333B43" w:rsidRDefault="00651A03">
      <w:pPr>
        <w:pBdr>
          <w:top w:val="nil"/>
          <w:left w:val="nil"/>
          <w:bottom w:val="nil"/>
          <w:right w:val="nil"/>
          <w:between w:val="nil"/>
        </w:pBdr>
        <w:spacing w:before="240" w:after="240" w:line="360" w:lineRule="auto"/>
        <w:jc w:val="center"/>
        <w:rPr>
          <w:rFonts w:ascii="Times New Roman" w:eastAsia="Times New Roman" w:hAnsi="Times New Roman" w:cs="Times New Roman"/>
          <w:color w:val="000000"/>
          <w:sz w:val="24"/>
          <w:szCs w:val="24"/>
        </w:rPr>
      </w:pPr>
      <w:sdt>
        <w:sdtPr>
          <w:tag w:val="goog_rdk_0"/>
          <w:id w:val="349929605"/>
        </w:sdtPr>
        <w:sdtEndPr/>
        <w:sdtContent/>
      </w:sdt>
      <w:r>
        <w:rPr>
          <w:rFonts w:ascii="Times New Roman" w:eastAsia="Times New Roman" w:hAnsi="Times New Roman" w:cs="Times New Roman"/>
          <w:b/>
          <w:bCs/>
          <w:color w:val="000000"/>
          <w:sz w:val="24"/>
          <w:szCs w:val="24"/>
        </w:rPr>
        <w:t>INTERSETORIALIDADE, DIREITOS SOCIAIS E PROMOÇÃO DA SAÚDE: A TRAJETÓRIA DAS POLÍTICAS DE SAÚDE ESCOLAR NO BRASIL PÓS-CONSTITUIÇÃO DE 198</w:t>
      </w:r>
      <w:r w:rsidR="000A23EB">
        <w:rPr>
          <w:rFonts w:ascii="Times New Roman" w:eastAsia="Times New Roman" w:hAnsi="Times New Roman" w:cs="Times New Roman"/>
          <w:b/>
          <w:bCs/>
          <w:color w:val="000000"/>
          <w:sz w:val="24"/>
          <w:szCs w:val="24"/>
        </w:rPr>
        <w:t>8</w:t>
      </w:r>
    </w:p>
    <w:p w14:paraId="0000000E"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b/>
          <w:bCs/>
          <w:color w:val="000000"/>
          <w:sz w:val="24"/>
          <w:szCs w:val="24"/>
        </w:rPr>
      </w:pPr>
    </w:p>
    <w:p w14:paraId="0000000F"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b/>
          <w:bCs/>
          <w:color w:val="000000"/>
          <w:sz w:val="24"/>
          <w:szCs w:val="24"/>
        </w:rPr>
      </w:pPr>
    </w:p>
    <w:p w14:paraId="00000010"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p>
    <w:p w14:paraId="00000011"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eastAsia="Times New Roman" w:hAnsi="Times New Roman" w:cs="Times New Roman"/>
          <w:b/>
          <w:bCs/>
          <w:color w:val="000000"/>
          <w:sz w:val="24"/>
          <w:szCs w:val="24"/>
        </w:rPr>
      </w:pPr>
    </w:p>
    <w:p w14:paraId="00000012"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p>
    <w:p w14:paraId="00000013"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p>
    <w:p w14:paraId="00000014"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p>
    <w:p w14:paraId="00000015"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BELO HORIZONTE, MG</w:t>
      </w:r>
    </w:p>
    <w:p w14:paraId="00000016"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2026</w:t>
      </w:r>
      <w:r>
        <w:br w:type="page"/>
      </w:r>
    </w:p>
    <w:p w14:paraId="00000017"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after="120" w:line="240" w:lineRule="auto"/>
        <w:jc w:val="center"/>
        <w:rPr>
          <w:rFonts w:ascii="Times New Roman" w:eastAsia="Times New Roman" w:hAnsi="Times New Roman" w:cs="Times New Roman"/>
          <w:b/>
          <w:bCs/>
          <w:color w:val="000000"/>
          <w:sz w:val="24"/>
          <w:szCs w:val="24"/>
        </w:rPr>
      </w:pPr>
    </w:p>
    <w:p w14:paraId="00000018"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RESUMO</w:t>
      </w:r>
      <w:r>
        <w:rPr>
          <w:rFonts w:ascii="Times New Roman" w:eastAsia="Times New Roman" w:hAnsi="Times New Roman" w:cs="Times New Roman"/>
          <w:color w:val="000000"/>
          <w:sz w:val="24"/>
          <w:szCs w:val="24"/>
        </w:rPr>
        <w:t xml:space="preserve"> </w:t>
      </w:r>
    </w:p>
    <w:p w14:paraId="00000019"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after="120" w:line="360" w:lineRule="auto"/>
        <w:jc w:val="both"/>
        <w:rPr>
          <w:rFonts w:ascii="Times New Roman" w:eastAsia="Times New Roman" w:hAnsi="Times New Roman" w:cs="Times New Roman"/>
          <w:color w:val="000000"/>
          <w:sz w:val="24"/>
          <w:szCs w:val="24"/>
        </w:rPr>
      </w:pPr>
    </w:p>
    <w:p w14:paraId="0000001A" w14:textId="77777777" w:rsidR="00333B43" w:rsidRDefault="00651A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 presente artigo analisa a evolução das políticas públicas de promoção da saúde no ambiente escolar brasileiro, desde a promulgação da Constituição Federal de 1988 até a institucionalização do Programa Saúde na Escola (PSE), em 2007. Parte-se do pressupos</w:t>
      </w:r>
      <w:r>
        <w:rPr>
          <w:rFonts w:ascii="Times New Roman" w:eastAsia="Times New Roman" w:hAnsi="Times New Roman" w:cs="Times New Roman"/>
          <w:color w:val="000000"/>
          <w:sz w:val="24"/>
          <w:szCs w:val="24"/>
        </w:rPr>
        <w:t xml:space="preserve">to de que a Constituição de 1988 consolidou os fundamentos normativos do direito universal à saúde e à educação, possibilitando a construção de mecanismos intersetoriais voltados à promoção do bem-estar no espaço escolar. O estudo examina a trajetória das </w:t>
      </w:r>
      <w:r>
        <w:rPr>
          <w:rFonts w:ascii="Times New Roman" w:eastAsia="Times New Roman" w:hAnsi="Times New Roman" w:cs="Times New Roman"/>
          <w:color w:val="000000"/>
          <w:sz w:val="24"/>
          <w:szCs w:val="24"/>
        </w:rPr>
        <w:t xml:space="preserve">políticas de saúde escolar no contexto da consolidação do Sistema Único de Saúde (SUS), com foco nos processos de formulação, coordenação e implementação de políticas públicas integradas entre os setores da saúde e da educação. Metodologicamente, trata-se </w:t>
      </w:r>
      <w:r>
        <w:rPr>
          <w:rFonts w:ascii="Times New Roman" w:eastAsia="Times New Roman" w:hAnsi="Times New Roman" w:cs="Times New Roman"/>
          <w:color w:val="000000"/>
          <w:sz w:val="24"/>
          <w:szCs w:val="24"/>
        </w:rPr>
        <w:t>de um ensaio teórico fundamentado em revisão bibliográfica e análise de marcos normativos e documentos institucionais relacionados à promoção da saúde e à governança intersetorial. Argumenta-se que o PSE representa um marco na institucionalização de estrat</w:t>
      </w:r>
      <w:r>
        <w:rPr>
          <w:rFonts w:ascii="Times New Roman" w:eastAsia="Times New Roman" w:hAnsi="Times New Roman" w:cs="Times New Roman"/>
          <w:color w:val="000000"/>
          <w:sz w:val="24"/>
          <w:szCs w:val="24"/>
        </w:rPr>
        <w:t xml:space="preserve">égias de promoção da saúde no ambiente escolar, fortalecendo ações preventivas, educativas e de atenção integral aos estudantes. Conclui-se que a trajetória das políticas de saúde escolar evidencia avanços relevantes na articulação entre direitos sociais, </w:t>
      </w:r>
      <w:r>
        <w:rPr>
          <w:rFonts w:ascii="Times New Roman" w:eastAsia="Times New Roman" w:hAnsi="Times New Roman" w:cs="Times New Roman"/>
          <w:color w:val="000000"/>
          <w:sz w:val="24"/>
          <w:szCs w:val="24"/>
        </w:rPr>
        <w:t>capacidades estatais e governança pública, embora persistam desafios relacionados à coordenação federativa e à implementação territorial das políticas públicas.</w:t>
      </w:r>
    </w:p>
    <w:p w14:paraId="0000001B" w14:textId="77777777" w:rsidR="00333B43" w:rsidRDefault="00333B43">
      <w:pPr>
        <w:spacing w:after="0" w:line="240" w:lineRule="auto"/>
        <w:jc w:val="both"/>
        <w:rPr>
          <w:rFonts w:ascii="Times New Roman" w:eastAsia="Times New Roman" w:hAnsi="Times New Roman" w:cs="Times New Roman"/>
          <w:sz w:val="24"/>
          <w:szCs w:val="24"/>
        </w:rPr>
      </w:pPr>
    </w:p>
    <w:p w14:paraId="0000001C" w14:textId="77777777" w:rsidR="00333B43" w:rsidRDefault="00651A0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Palavras-chave:</w:t>
      </w:r>
      <w:r>
        <w:rPr>
          <w:rFonts w:ascii="Times New Roman" w:eastAsia="Times New Roman" w:hAnsi="Times New Roman" w:cs="Times New Roman"/>
          <w:color w:val="000000"/>
          <w:sz w:val="24"/>
          <w:szCs w:val="24"/>
        </w:rPr>
        <w:t xml:space="preserve"> Políticas públicas; Promoção da saúde; Governança intersetorial; Sistema Único de Saúde; Programa Saúde na Escola. </w:t>
      </w:r>
    </w:p>
    <w:p w14:paraId="0000001D"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4"/>
          <w:szCs w:val="24"/>
        </w:rPr>
      </w:pPr>
    </w:p>
    <w:p w14:paraId="0000001E"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4"/>
          <w:szCs w:val="24"/>
        </w:rPr>
      </w:pPr>
    </w:p>
    <w:p w14:paraId="0000001F"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4"/>
          <w:szCs w:val="24"/>
        </w:rPr>
      </w:pPr>
    </w:p>
    <w:p w14:paraId="00000020"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after="120" w:line="240" w:lineRule="auto"/>
        <w:jc w:val="center"/>
        <w:rPr>
          <w:rFonts w:ascii="Times New Roman" w:eastAsia="Times New Roman" w:hAnsi="Times New Roman" w:cs="Times New Roman"/>
          <w:b/>
          <w:bCs/>
          <w:i/>
          <w:iCs/>
          <w:color w:val="000000"/>
          <w:sz w:val="24"/>
          <w:szCs w:val="24"/>
        </w:rPr>
      </w:pPr>
      <w:r>
        <w:br w:type="page"/>
      </w:r>
    </w:p>
    <w:p w14:paraId="00000021"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after="12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ABSTRACT</w:t>
      </w:r>
    </w:p>
    <w:p w14:paraId="00000022"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after="120" w:line="360" w:lineRule="auto"/>
        <w:jc w:val="both"/>
        <w:rPr>
          <w:rFonts w:ascii="Times New Roman" w:eastAsia="Times New Roman" w:hAnsi="Times New Roman" w:cs="Times New Roman"/>
          <w:color w:val="000000"/>
          <w:sz w:val="24"/>
          <w:szCs w:val="24"/>
        </w:rPr>
      </w:pPr>
    </w:p>
    <w:p w14:paraId="00000023" w14:textId="77777777" w:rsidR="00333B43" w:rsidRDefault="00651A03">
      <w:pPr>
        <w:pBdr>
          <w:top w:val="nil"/>
          <w:left w:val="nil"/>
          <w:bottom w:val="nil"/>
          <w:right w:val="nil"/>
          <w:between w:val="nil"/>
        </w:pBdr>
        <w:spacing w:before="280" w:after="280" w:line="240" w:lineRule="auto"/>
        <w:jc w:val="both"/>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i/>
          <w:iCs/>
          <w:color w:val="000000"/>
          <w:sz w:val="24"/>
          <w:szCs w:val="24"/>
        </w:rPr>
        <w:t>This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article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analyzes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evolution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public</w:t>
      </w:r>
      <w:proofErr w:type="spellEnd"/>
      <w:r>
        <w:rPr>
          <w:rFonts w:ascii="Times New Roman" w:eastAsia="Times New Roman" w:hAnsi="Times New Roman" w:cs="Times New Roman"/>
          <w:i/>
          <w:iCs/>
          <w:color w:val="000000"/>
          <w:sz w:val="24"/>
          <w:szCs w:val="24"/>
        </w:rPr>
        <w:t xml:space="preserve"> policies </w:t>
      </w:r>
      <w:proofErr w:type="spellStart"/>
      <w:r>
        <w:rPr>
          <w:rFonts w:ascii="Times New Roman" w:eastAsia="Times New Roman" w:hAnsi="Times New Roman" w:cs="Times New Roman"/>
          <w:i/>
          <w:iCs/>
          <w:color w:val="000000"/>
          <w:sz w:val="24"/>
          <w:szCs w:val="24"/>
        </w:rPr>
        <w:t>aimed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promotion</w:t>
      </w:r>
      <w:proofErr w:type="spellEnd"/>
      <w:r>
        <w:rPr>
          <w:rFonts w:ascii="Times New Roman" w:eastAsia="Times New Roman" w:hAnsi="Times New Roman" w:cs="Times New Roman"/>
          <w:i/>
          <w:iCs/>
          <w:color w:val="000000"/>
          <w:sz w:val="24"/>
          <w:szCs w:val="24"/>
        </w:rPr>
        <w:t xml:space="preserve"> in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Brazilian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school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environment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from</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promulgation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1988 Federal </w:t>
      </w:r>
      <w:proofErr w:type="spellStart"/>
      <w:r>
        <w:rPr>
          <w:rFonts w:ascii="Times New Roman" w:eastAsia="Times New Roman" w:hAnsi="Times New Roman" w:cs="Times New Roman"/>
          <w:i/>
          <w:iCs/>
          <w:color w:val="000000"/>
          <w:sz w:val="24"/>
          <w:szCs w:val="24"/>
        </w:rPr>
        <w:t>Constitution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to</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institutionalization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School</w:t>
      </w:r>
      <w:proofErr w:type="spellEnd"/>
      <w:r>
        <w:rPr>
          <w:rFonts w:ascii="Times New Roman" w:eastAsia="Times New Roman" w:hAnsi="Times New Roman" w:cs="Times New Roman"/>
          <w:i/>
          <w:iCs/>
          <w:color w:val="000000"/>
          <w:sz w:val="24"/>
          <w:szCs w:val="24"/>
        </w:rPr>
        <w:t xml:space="preserve"> Health </w:t>
      </w:r>
      <w:proofErr w:type="spellStart"/>
      <w:r>
        <w:rPr>
          <w:rFonts w:ascii="Times New Roman" w:eastAsia="Times New Roman" w:hAnsi="Times New Roman" w:cs="Times New Roman"/>
          <w:i/>
          <w:iCs/>
          <w:color w:val="000000"/>
          <w:sz w:val="24"/>
          <w:szCs w:val="24"/>
        </w:rPr>
        <w:t>Program</w:t>
      </w:r>
      <w:proofErr w:type="spellEnd"/>
      <w:r>
        <w:rPr>
          <w:rFonts w:ascii="Times New Roman" w:eastAsia="Times New Roman" w:hAnsi="Times New Roman" w:cs="Times New Roman"/>
          <w:i/>
          <w:iCs/>
          <w:color w:val="000000"/>
          <w:sz w:val="24"/>
          <w:szCs w:val="24"/>
        </w:rPr>
        <w:t xml:space="preserve"> (Programa Saúde na Escola </w:t>
      </w:r>
      <w:r>
        <w:rPr>
          <w:rFonts w:ascii="Times New Roman" w:eastAsia="Times New Roman" w:hAnsi="Times New Roman" w:cs="Times New Roman"/>
          <w:i/>
          <w:iCs/>
          <w:color w:val="000000"/>
          <w:sz w:val="24"/>
          <w:szCs w:val="24"/>
        </w:rPr>
        <w:t xml:space="preserve">– PSE) in 2007. It </w:t>
      </w:r>
      <w:proofErr w:type="spellStart"/>
      <w:r>
        <w:rPr>
          <w:rFonts w:ascii="Times New Roman" w:eastAsia="Times New Roman" w:hAnsi="Times New Roman" w:cs="Times New Roman"/>
          <w:i/>
          <w:iCs/>
          <w:color w:val="000000"/>
          <w:sz w:val="24"/>
          <w:szCs w:val="24"/>
        </w:rPr>
        <w:t>is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based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assumption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that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1988 </w:t>
      </w:r>
      <w:proofErr w:type="spellStart"/>
      <w:r>
        <w:rPr>
          <w:rFonts w:ascii="Times New Roman" w:eastAsia="Times New Roman" w:hAnsi="Times New Roman" w:cs="Times New Roman"/>
          <w:i/>
          <w:iCs/>
          <w:color w:val="000000"/>
          <w:sz w:val="24"/>
          <w:szCs w:val="24"/>
        </w:rPr>
        <w:t>Constitution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established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normative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foundations</w:t>
      </w:r>
      <w:proofErr w:type="spellEnd"/>
      <w:r>
        <w:rPr>
          <w:rFonts w:ascii="Times New Roman" w:eastAsia="Times New Roman" w:hAnsi="Times New Roman" w:cs="Times New Roman"/>
          <w:i/>
          <w:iCs/>
          <w:color w:val="000000"/>
          <w:sz w:val="24"/>
          <w:szCs w:val="24"/>
        </w:rPr>
        <w:t xml:space="preserve"> for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universal </w:t>
      </w:r>
      <w:proofErr w:type="spellStart"/>
      <w:r>
        <w:rPr>
          <w:rFonts w:ascii="Times New Roman" w:eastAsia="Times New Roman" w:hAnsi="Times New Roman" w:cs="Times New Roman"/>
          <w:i/>
          <w:iCs/>
          <w:color w:val="000000"/>
          <w:sz w:val="24"/>
          <w:szCs w:val="24"/>
        </w:rPr>
        <w:t>right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to</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education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enabling</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development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intersectoral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mechanisms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to</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promote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well-being</w:t>
      </w:r>
      <w:proofErr w:type="spellEnd"/>
      <w:r>
        <w:rPr>
          <w:rFonts w:ascii="Times New Roman" w:eastAsia="Times New Roman" w:hAnsi="Times New Roman" w:cs="Times New Roman"/>
          <w:i/>
          <w:iCs/>
          <w:color w:val="000000"/>
          <w:sz w:val="24"/>
          <w:szCs w:val="24"/>
        </w:rPr>
        <w:t xml:space="preserve"> in </w:t>
      </w:r>
      <w:proofErr w:type="spellStart"/>
      <w:r>
        <w:rPr>
          <w:rFonts w:ascii="Times New Roman" w:eastAsia="Times New Roman" w:hAnsi="Times New Roman" w:cs="Times New Roman"/>
          <w:i/>
          <w:iCs/>
          <w:color w:val="000000"/>
          <w:sz w:val="24"/>
          <w:szCs w:val="24"/>
        </w:rPr>
        <w:t>schools</w:t>
      </w:r>
      <w:proofErr w:type="spellEnd"/>
      <w:r>
        <w:rPr>
          <w:rFonts w:ascii="Times New Roman" w:eastAsia="Times New Roman" w:hAnsi="Times New Roman" w:cs="Times New Roman"/>
          <w:i/>
          <w:iCs/>
          <w:color w:val="000000"/>
          <w:sz w:val="24"/>
          <w:szCs w:val="24"/>
        </w:rPr>
        <w:t xml:space="preserve">. The </w:t>
      </w:r>
      <w:proofErr w:type="spellStart"/>
      <w:r>
        <w:rPr>
          <w:rFonts w:ascii="Times New Roman" w:eastAsia="Times New Roman" w:hAnsi="Times New Roman" w:cs="Times New Roman"/>
          <w:i/>
          <w:iCs/>
          <w:color w:val="000000"/>
          <w:sz w:val="24"/>
          <w:szCs w:val="24"/>
        </w:rPr>
        <w:t>study</w:t>
      </w:r>
      <w:proofErr w:type="spellEnd"/>
      <w:r>
        <w:rPr>
          <w:rFonts w:ascii="Times New Roman" w:eastAsia="Times New Roman" w:hAnsi="Times New Roman" w:cs="Times New Roman"/>
          <w:i/>
          <w:iCs/>
          <w:color w:val="000000"/>
          <w:sz w:val="24"/>
          <w:szCs w:val="24"/>
        </w:rPr>
        <w:t xml:space="preserve"> examines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trajectory</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school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policies </w:t>
      </w:r>
      <w:proofErr w:type="spellStart"/>
      <w:r>
        <w:rPr>
          <w:rFonts w:ascii="Times New Roman" w:eastAsia="Times New Roman" w:hAnsi="Times New Roman" w:cs="Times New Roman"/>
          <w:i/>
          <w:iCs/>
          <w:color w:val="000000"/>
          <w:sz w:val="24"/>
          <w:szCs w:val="24"/>
        </w:rPr>
        <w:t>within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context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consolidation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Brazilian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Unified</w:t>
      </w:r>
      <w:proofErr w:type="spellEnd"/>
      <w:r>
        <w:rPr>
          <w:rFonts w:ascii="Times New Roman" w:eastAsia="Times New Roman" w:hAnsi="Times New Roman" w:cs="Times New Roman"/>
          <w:i/>
          <w:iCs/>
          <w:color w:val="000000"/>
          <w:sz w:val="24"/>
          <w:szCs w:val="24"/>
        </w:rPr>
        <w:t xml:space="preserve"> Health System (Sistema Único de Saúde – SUS), </w:t>
      </w:r>
      <w:proofErr w:type="spellStart"/>
      <w:r>
        <w:rPr>
          <w:rFonts w:ascii="Times New Roman" w:eastAsia="Times New Roman" w:hAnsi="Times New Roman" w:cs="Times New Roman"/>
          <w:i/>
          <w:iCs/>
          <w:color w:val="000000"/>
          <w:sz w:val="24"/>
          <w:szCs w:val="24"/>
        </w:rPr>
        <w:t>focusing</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formulation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coordination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implementation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integrated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public</w:t>
      </w:r>
      <w:proofErr w:type="spellEnd"/>
      <w:r>
        <w:rPr>
          <w:rFonts w:ascii="Times New Roman" w:eastAsia="Times New Roman" w:hAnsi="Times New Roman" w:cs="Times New Roman"/>
          <w:i/>
          <w:iCs/>
          <w:color w:val="000000"/>
          <w:sz w:val="24"/>
          <w:szCs w:val="24"/>
        </w:rPr>
        <w:t xml:space="preserve"> policies </w:t>
      </w:r>
      <w:proofErr w:type="spellStart"/>
      <w:r>
        <w:rPr>
          <w:rFonts w:ascii="Times New Roman" w:eastAsia="Times New Roman" w:hAnsi="Times New Roman" w:cs="Times New Roman"/>
          <w:i/>
          <w:iCs/>
          <w:color w:val="000000"/>
          <w:sz w:val="24"/>
          <w:szCs w:val="24"/>
        </w:rPr>
        <w:t>in</w:t>
      </w:r>
      <w:r>
        <w:rPr>
          <w:rFonts w:ascii="Times New Roman" w:eastAsia="Times New Roman" w:hAnsi="Times New Roman" w:cs="Times New Roman"/>
          <w:i/>
          <w:iCs/>
          <w:color w:val="000000"/>
          <w:sz w:val="24"/>
          <w:szCs w:val="24"/>
        </w:rPr>
        <w:t>volving</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education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sectors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Methodologically</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this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is</w:t>
      </w:r>
      <w:proofErr w:type="spellEnd"/>
      <w:r>
        <w:rPr>
          <w:rFonts w:ascii="Times New Roman" w:eastAsia="Times New Roman" w:hAnsi="Times New Roman" w:cs="Times New Roman"/>
          <w:i/>
          <w:iCs/>
          <w:color w:val="000000"/>
          <w:sz w:val="24"/>
          <w:szCs w:val="24"/>
        </w:rPr>
        <w:t xml:space="preserve"> a </w:t>
      </w:r>
      <w:proofErr w:type="spellStart"/>
      <w:r>
        <w:rPr>
          <w:rFonts w:ascii="Times New Roman" w:eastAsia="Times New Roman" w:hAnsi="Times New Roman" w:cs="Times New Roman"/>
          <w:i/>
          <w:iCs/>
          <w:color w:val="000000"/>
          <w:sz w:val="24"/>
          <w:szCs w:val="24"/>
        </w:rPr>
        <w:t>theoretical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essay</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grounded</w:t>
      </w:r>
      <w:proofErr w:type="spellEnd"/>
      <w:r>
        <w:rPr>
          <w:rFonts w:ascii="Times New Roman" w:eastAsia="Times New Roman" w:hAnsi="Times New Roman" w:cs="Times New Roman"/>
          <w:i/>
          <w:iCs/>
          <w:color w:val="000000"/>
          <w:sz w:val="24"/>
          <w:szCs w:val="24"/>
        </w:rPr>
        <w:t xml:space="preserve"> in a </w:t>
      </w:r>
      <w:proofErr w:type="spellStart"/>
      <w:r>
        <w:rPr>
          <w:rFonts w:ascii="Times New Roman" w:eastAsia="Times New Roman" w:hAnsi="Times New Roman" w:cs="Times New Roman"/>
          <w:i/>
          <w:iCs/>
          <w:color w:val="000000"/>
          <w:sz w:val="24"/>
          <w:szCs w:val="24"/>
        </w:rPr>
        <w:t>literature</w:t>
      </w:r>
      <w:proofErr w:type="spellEnd"/>
      <w:r>
        <w:rPr>
          <w:rFonts w:ascii="Times New Roman" w:eastAsia="Times New Roman" w:hAnsi="Times New Roman" w:cs="Times New Roman"/>
          <w:i/>
          <w:iCs/>
          <w:color w:val="000000"/>
          <w:sz w:val="24"/>
          <w:szCs w:val="24"/>
        </w:rPr>
        <w:t xml:space="preserve"> review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analysis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gramStart"/>
      <w:r>
        <w:rPr>
          <w:rFonts w:ascii="Times New Roman" w:eastAsia="Times New Roman" w:hAnsi="Times New Roman" w:cs="Times New Roman"/>
          <w:i/>
          <w:iCs/>
          <w:color w:val="000000"/>
          <w:sz w:val="24"/>
          <w:szCs w:val="24"/>
        </w:rPr>
        <w:t>legal frameworks</w:t>
      </w:r>
      <w:proofErr w:type="gram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institutional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documents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related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to</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promotion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intersectoral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governance</w:t>
      </w:r>
      <w:proofErr w:type="spellEnd"/>
      <w:r>
        <w:rPr>
          <w:rFonts w:ascii="Times New Roman" w:eastAsia="Times New Roman" w:hAnsi="Times New Roman" w:cs="Times New Roman"/>
          <w:i/>
          <w:iCs/>
          <w:color w:val="000000"/>
          <w:sz w:val="24"/>
          <w:szCs w:val="24"/>
        </w:rPr>
        <w:t xml:space="preserve">. The </w:t>
      </w:r>
      <w:proofErr w:type="spellStart"/>
      <w:r>
        <w:rPr>
          <w:rFonts w:ascii="Times New Roman" w:eastAsia="Times New Roman" w:hAnsi="Times New Roman" w:cs="Times New Roman"/>
          <w:i/>
          <w:iCs/>
          <w:color w:val="000000"/>
          <w:sz w:val="24"/>
          <w:szCs w:val="24"/>
        </w:rPr>
        <w:t>study</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arg</w:t>
      </w:r>
      <w:r>
        <w:rPr>
          <w:rFonts w:ascii="Times New Roman" w:eastAsia="Times New Roman" w:hAnsi="Times New Roman" w:cs="Times New Roman"/>
          <w:i/>
          <w:iCs/>
          <w:color w:val="000000"/>
          <w:sz w:val="24"/>
          <w:szCs w:val="24"/>
        </w:rPr>
        <w:t>ues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that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PSE </w:t>
      </w:r>
      <w:proofErr w:type="spellStart"/>
      <w:r>
        <w:rPr>
          <w:rFonts w:ascii="Times New Roman" w:eastAsia="Times New Roman" w:hAnsi="Times New Roman" w:cs="Times New Roman"/>
          <w:i/>
          <w:iCs/>
          <w:color w:val="000000"/>
          <w:sz w:val="24"/>
          <w:szCs w:val="24"/>
        </w:rPr>
        <w:t>represents</w:t>
      </w:r>
      <w:proofErr w:type="spellEnd"/>
      <w:r>
        <w:rPr>
          <w:rFonts w:ascii="Times New Roman" w:eastAsia="Times New Roman" w:hAnsi="Times New Roman" w:cs="Times New Roman"/>
          <w:i/>
          <w:iCs/>
          <w:color w:val="000000"/>
          <w:sz w:val="24"/>
          <w:szCs w:val="24"/>
        </w:rPr>
        <w:t xml:space="preserve"> a </w:t>
      </w:r>
      <w:proofErr w:type="spellStart"/>
      <w:r>
        <w:rPr>
          <w:rFonts w:ascii="Times New Roman" w:eastAsia="Times New Roman" w:hAnsi="Times New Roman" w:cs="Times New Roman"/>
          <w:i/>
          <w:iCs/>
          <w:color w:val="000000"/>
          <w:sz w:val="24"/>
          <w:szCs w:val="24"/>
        </w:rPr>
        <w:t>milestone</w:t>
      </w:r>
      <w:proofErr w:type="spellEnd"/>
      <w:r>
        <w:rPr>
          <w:rFonts w:ascii="Times New Roman" w:eastAsia="Times New Roman" w:hAnsi="Times New Roman" w:cs="Times New Roman"/>
          <w:i/>
          <w:iCs/>
          <w:color w:val="000000"/>
          <w:sz w:val="24"/>
          <w:szCs w:val="24"/>
        </w:rPr>
        <w:t xml:space="preserve"> in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institutionalization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school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policies </w:t>
      </w:r>
      <w:proofErr w:type="spellStart"/>
      <w:r>
        <w:rPr>
          <w:rFonts w:ascii="Times New Roman" w:eastAsia="Times New Roman" w:hAnsi="Times New Roman" w:cs="Times New Roman"/>
          <w:i/>
          <w:iCs/>
          <w:color w:val="000000"/>
          <w:sz w:val="24"/>
          <w:szCs w:val="24"/>
        </w:rPr>
        <w:t>by</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strengthening</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preventive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educational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comprehensive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actions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directed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students</w:t>
      </w:r>
      <w:proofErr w:type="spellEnd"/>
      <w:r>
        <w:rPr>
          <w:rFonts w:ascii="Times New Roman" w:eastAsia="Times New Roman" w:hAnsi="Times New Roman" w:cs="Times New Roman"/>
          <w:i/>
          <w:iCs/>
          <w:color w:val="000000"/>
          <w:sz w:val="24"/>
          <w:szCs w:val="24"/>
        </w:rPr>
        <w:t xml:space="preserve">. The </w:t>
      </w:r>
      <w:proofErr w:type="spellStart"/>
      <w:r>
        <w:rPr>
          <w:rFonts w:ascii="Times New Roman" w:eastAsia="Times New Roman" w:hAnsi="Times New Roman" w:cs="Times New Roman"/>
          <w:i/>
          <w:iCs/>
          <w:color w:val="000000"/>
          <w:sz w:val="24"/>
          <w:szCs w:val="24"/>
        </w:rPr>
        <w:t>findings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indicate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that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evolution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school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policie</w:t>
      </w:r>
      <w:r>
        <w:rPr>
          <w:rFonts w:ascii="Times New Roman" w:eastAsia="Times New Roman" w:hAnsi="Times New Roman" w:cs="Times New Roman"/>
          <w:i/>
          <w:iCs/>
          <w:color w:val="000000"/>
          <w:sz w:val="24"/>
          <w:szCs w:val="24"/>
        </w:rPr>
        <w:t xml:space="preserve">s </w:t>
      </w:r>
      <w:proofErr w:type="spellStart"/>
      <w:r>
        <w:rPr>
          <w:rFonts w:ascii="Times New Roman" w:eastAsia="Times New Roman" w:hAnsi="Times New Roman" w:cs="Times New Roman"/>
          <w:i/>
          <w:iCs/>
          <w:color w:val="000000"/>
          <w:sz w:val="24"/>
          <w:szCs w:val="24"/>
        </w:rPr>
        <w:t>reflects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significant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advances</w:t>
      </w:r>
      <w:proofErr w:type="spellEnd"/>
      <w:r>
        <w:rPr>
          <w:rFonts w:ascii="Times New Roman" w:eastAsia="Times New Roman" w:hAnsi="Times New Roman" w:cs="Times New Roman"/>
          <w:i/>
          <w:iCs/>
          <w:color w:val="000000"/>
          <w:sz w:val="24"/>
          <w:szCs w:val="24"/>
        </w:rPr>
        <w:t xml:space="preserve"> in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articulation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between</w:t>
      </w:r>
      <w:proofErr w:type="spellEnd"/>
      <w:r>
        <w:rPr>
          <w:rFonts w:ascii="Times New Roman" w:eastAsia="Times New Roman" w:hAnsi="Times New Roman" w:cs="Times New Roman"/>
          <w:i/>
          <w:iCs/>
          <w:color w:val="000000"/>
          <w:sz w:val="24"/>
          <w:szCs w:val="24"/>
        </w:rPr>
        <w:t xml:space="preserve"> social </w:t>
      </w:r>
      <w:proofErr w:type="spellStart"/>
      <w:r>
        <w:rPr>
          <w:rFonts w:ascii="Times New Roman" w:eastAsia="Times New Roman" w:hAnsi="Times New Roman" w:cs="Times New Roman"/>
          <w:i/>
          <w:iCs/>
          <w:color w:val="000000"/>
          <w:sz w:val="24"/>
          <w:szCs w:val="24"/>
        </w:rPr>
        <w:t>rights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state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capacities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public</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governance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However</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important</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challenges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remain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regarding</w:t>
      </w:r>
      <w:proofErr w:type="spellEnd"/>
      <w:r>
        <w:rPr>
          <w:rFonts w:ascii="Times New Roman" w:eastAsia="Times New Roman" w:hAnsi="Times New Roman" w:cs="Times New Roman"/>
          <w:i/>
          <w:iCs/>
          <w:color w:val="000000"/>
          <w:sz w:val="24"/>
          <w:szCs w:val="24"/>
        </w:rPr>
        <w:t xml:space="preserve"> federal </w:t>
      </w:r>
      <w:proofErr w:type="spellStart"/>
      <w:r>
        <w:rPr>
          <w:rFonts w:ascii="Times New Roman" w:eastAsia="Times New Roman" w:hAnsi="Times New Roman" w:cs="Times New Roman"/>
          <w:i/>
          <w:iCs/>
          <w:color w:val="000000"/>
          <w:sz w:val="24"/>
          <w:szCs w:val="24"/>
        </w:rPr>
        <w:t>coordination</w:t>
      </w:r>
      <w:proofErr w:type="spellEnd"/>
      <w:r>
        <w:rPr>
          <w:rFonts w:ascii="Times New Roman" w:eastAsia="Times New Roman" w:hAnsi="Times New Roman" w:cs="Times New Roman"/>
          <w:i/>
          <w:iCs/>
          <w:color w:val="000000"/>
          <w:sz w:val="24"/>
          <w:szCs w:val="24"/>
        </w:rPr>
        <w:t xml:space="preserve">, territorial </w:t>
      </w:r>
      <w:proofErr w:type="spellStart"/>
      <w:r>
        <w:rPr>
          <w:rFonts w:ascii="Times New Roman" w:eastAsia="Times New Roman" w:hAnsi="Times New Roman" w:cs="Times New Roman"/>
          <w:i/>
          <w:iCs/>
          <w:color w:val="000000"/>
          <w:sz w:val="24"/>
          <w:szCs w:val="24"/>
        </w:rPr>
        <w:t>implementation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and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incorporation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emerging</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demands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particularly</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those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related</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to</w:t>
      </w:r>
      <w:proofErr w:type="spellEnd"/>
      <w:r>
        <w:rPr>
          <w:rFonts w:ascii="Times New Roman" w:eastAsia="Times New Roman" w:hAnsi="Times New Roman" w:cs="Times New Roman"/>
          <w:i/>
          <w:iCs/>
          <w:color w:val="000000"/>
          <w:sz w:val="24"/>
          <w:szCs w:val="24"/>
        </w:rPr>
        <w:t xml:space="preserve"> mental </w:t>
      </w:r>
      <w:proofErr w:type="spellStart"/>
      <w:r>
        <w:rPr>
          <w:rFonts w:ascii="Times New Roman" w:eastAsia="Times New Roman" w:hAnsi="Times New Roman" w:cs="Times New Roman"/>
          <w:i/>
          <w:iCs/>
          <w:color w:val="000000"/>
          <w:sz w:val="24"/>
          <w:szCs w:val="24"/>
        </w:rPr>
        <w:t>health</w:t>
      </w:r>
      <w:proofErr w:type="spellEnd"/>
      <w:r>
        <w:rPr>
          <w:rFonts w:ascii="Times New Roman" w:eastAsia="Times New Roman" w:hAnsi="Times New Roman" w:cs="Times New Roman"/>
          <w:i/>
          <w:iCs/>
          <w:color w:val="000000"/>
          <w:sz w:val="24"/>
          <w:szCs w:val="24"/>
        </w:rPr>
        <w:t xml:space="preserve"> in </w:t>
      </w:r>
      <w:proofErr w:type="spellStart"/>
      <w:r>
        <w:rPr>
          <w:rFonts w:ascii="Times New Roman" w:eastAsia="Times New Roman" w:hAnsi="Times New Roman" w:cs="Times New Roman"/>
          <w:i/>
          <w:iCs/>
          <w:color w:val="000000"/>
          <w:sz w:val="24"/>
          <w:szCs w:val="24"/>
        </w:rPr>
        <w:t>school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communities</w:t>
      </w:r>
      <w:proofErr w:type="spellEnd"/>
      <w:r>
        <w:rPr>
          <w:rFonts w:ascii="Times New Roman" w:eastAsia="Times New Roman" w:hAnsi="Times New Roman" w:cs="Times New Roman"/>
          <w:i/>
          <w:iCs/>
          <w:color w:val="000000"/>
          <w:sz w:val="24"/>
          <w:szCs w:val="24"/>
        </w:rPr>
        <w:t>.</w:t>
      </w:r>
    </w:p>
    <w:p w14:paraId="00000024" w14:textId="77777777" w:rsidR="00333B43" w:rsidRDefault="00651A03">
      <w:pPr>
        <w:pBdr>
          <w:top w:val="nil"/>
          <w:left w:val="nil"/>
          <w:bottom w:val="nil"/>
          <w:right w:val="nil"/>
          <w:between w:val="nil"/>
        </w:pBdr>
        <w:spacing w:before="280" w:after="280"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00000"/>
          <w:sz w:val="24"/>
          <w:szCs w:val="24"/>
        </w:rPr>
        <w:t>Keywords:</w:t>
      </w:r>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Public</w:t>
      </w:r>
      <w:proofErr w:type="spellEnd"/>
      <w:r>
        <w:rPr>
          <w:rFonts w:ascii="Times New Roman" w:eastAsia="Times New Roman" w:hAnsi="Times New Roman" w:cs="Times New Roman"/>
          <w:i/>
          <w:iCs/>
          <w:color w:val="000000"/>
          <w:sz w:val="24"/>
          <w:szCs w:val="24"/>
        </w:rPr>
        <w:t xml:space="preserve"> policies; Health </w:t>
      </w:r>
      <w:proofErr w:type="spellStart"/>
      <w:r>
        <w:rPr>
          <w:rFonts w:ascii="Times New Roman" w:eastAsia="Times New Roman" w:hAnsi="Times New Roman" w:cs="Times New Roman"/>
          <w:i/>
          <w:iCs/>
          <w:color w:val="000000"/>
          <w:sz w:val="24"/>
          <w:szCs w:val="24"/>
        </w:rPr>
        <w:t>promotion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Intersectoral</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governance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Unified</w:t>
      </w:r>
      <w:proofErr w:type="spellEnd"/>
      <w:r>
        <w:rPr>
          <w:rFonts w:ascii="Times New Roman" w:eastAsia="Times New Roman" w:hAnsi="Times New Roman" w:cs="Times New Roman"/>
          <w:i/>
          <w:iCs/>
          <w:color w:val="000000"/>
          <w:sz w:val="24"/>
          <w:szCs w:val="24"/>
        </w:rPr>
        <w:t xml:space="preserve"> Health System; </w:t>
      </w:r>
      <w:proofErr w:type="spellStart"/>
      <w:r>
        <w:rPr>
          <w:rFonts w:ascii="Times New Roman" w:eastAsia="Times New Roman" w:hAnsi="Times New Roman" w:cs="Times New Roman"/>
          <w:i/>
          <w:iCs/>
          <w:color w:val="000000"/>
          <w:sz w:val="24"/>
          <w:szCs w:val="24"/>
        </w:rPr>
        <w:t>School</w:t>
      </w:r>
      <w:proofErr w:type="spellEnd"/>
      <w:r>
        <w:rPr>
          <w:rFonts w:ascii="Times New Roman" w:eastAsia="Times New Roman" w:hAnsi="Times New Roman" w:cs="Times New Roman"/>
          <w:i/>
          <w:iCs/>
          <w:color w:val="000000"/>
          <w:sz w:val="24"/>
          <w:szCs w:val="24"/>
        </w:rPr>
        <w:t xml:space="preserve"> Health </w:t>
      </w:r>
      <w:proofErr w:type="spellStart"/>
      <w:r>
        <w:rPr>
          <w:rFonts w:ascii="Times New Roman" w:eastAsia="Times New Roman" w:hAnsi="Times New Roman" w:cs="Times New Roman"/>
          <w:i/>
          <w:iCs/>
          <w:color w:val="000000"/>
          <w:sz w:val="24"/>
          <w:szCs w:val="24"/>
        </w:rPr>
        <w:t>Program</w:t>
      </w:r>
      <w:proofErr w:type="spellEnd"/>
      <w:r>
        <w:rPr>
          <w:rFonts w:ascii="Times New Roman" w:eastAsia="Times New Roman" w:hAnsi="Times New Roman" w:cs="Times New Roman"/>
          <w:i/>
          <w:iCs/>
          <w:color w:val="000000"/>
          <w:sz w:val="24"/>
          <w:szCs w:val="24"/>
        </w:rPr>
        <w:t>.</w:t>
      </w:r>
    </w:p>
    <w:p w14:paraId="00000025"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p>
    <w:p w14:paraId="00000026"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p>
    <w:p w14:paraId="00000027"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b/>
          <w:bCs/>
          <w:color w:val="000000"/>
          <w:sz w:val="24"/>
          <w:szCs w:val="24"/>
        </w:rPr>
      </w:pPr>
      <w:r>
        <w:br w:type="page"/>
      </w:r>
    </w:p>
    <w:p w14:paraId="00000028" w14:textId="77777777" w:rsidR="00333B43" w:rsidRDefault="00651A03">
      <w:pPr>
        <w:pStyle w:val="Ttulo1"/>
        <w:numPr>
          <w:ilvl w:val="0"/>
          <w:numId w:val="1"/>
        </w:numPr>
        <w:spacing w:line="240" w:lineRule="auto"/>
        <w:rPr>
          <w:rFonts w:ascii="Times New Roman" w:eastAsia="Times New Roman" w:hAnsi="Times New Roman" w:cs="Times New Roman"/>
          <w:b/>
          <w:bCs/>
          <w:color w:val="000000"/>
          <w:sz w:val="24"/>
          <w:szCs w:val="24"/>
        </w:rPr>
      </w:pPr>
      <w:bookmarkStart w:id="0" w:name="_heading=h.janyczwax2ty" w:colFirst="0" w:colLast="0"/>
      <w:bookmarkEnd w:id="0"/>
      <w:r>
        <w:rPr>
          <w:rFonts w:ascii="Times New Roman" w:eastAsia="Times New Roman" w:hAnsi="Times New Roman" w:cs="Times New Roman"/>
          <w:b/>
          <w:bCs/>
          <w:color w:val="000000"/>
          <w:sz w:val="24"/>
          <w:szCs w:val="24"/>
        </w:rPr>
        <w:lastRenderedPageBreak/>
        <w:t>INTRODUÇÃO</w:t>
      </w:r>
    </w:p>
    <w:p w14:paraId="00000029" w14:textId="77777777" w:rsidR="00333B43" w:rsidRDefault="00333B43">
      <w:pPr>
        <w:spacing w:line="240" w:lineRule="auto"/>
        <w:rPr>
          <w:rFonts w:ascii="Times New Roman" w:eastAsia="Times New Roman" w:hAnsi="Times New Roman" w:cs="Times New Roman"/>
          <w:sz w:val="24"/>
          <w:szCs w:val="24"/>
        </w:rPr>
      </w:pPr>
    </w:p>
    <w:p w14:paraId="0000002A"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promoção da saúde no ambiente escolar consolidou-se, nas últimas décadas, como uma estratégia relevante para o enfrentamento de desafios sociais, educacionais e sanitários que afetam crianças e adolescentes. D</w:t>
      </w:r>
      <w:r>
        <w:rPr>
          <w:rFonts w:ascii="Times New Roman" w:eastAsia="Times New Roman" w:hAnsi="Times New Roman" w:cs="Times New Roman"/>
          <w:color w:val="000000"/>
          <w:sz w:val="24"/>
          <w:szCs w:val="24"/>
        </w:rPr>
        <w:t>ados estatísticos veiculados pela imprensa na</w:t>
      </w:r>
      <w:r>
        <w:rPr>
          <w:rFonts w:ascii="Times New Roman" w:eastAsia="Times New Roman" w:hAnsi="Times New Roman" w:cs="Times New Roman"/>
          <w:color w:val="000000"/>
          <w:sz w:val="24"/>
          <w:szCs w:val="24"/>
        </w:rPr>
        <w:t>cional, como a recente divulgação da Pesquisa Nacional de Saúde do Escolar (</w:t>
      </w:r>
      <w:proofErr w:type="spellStart"/>
      <w:r>
        <w:rPr>
          <w:rFonts w:ascii="Times New Roman" w:eastAsia="Times New Roman" w:hAnsi="Times New Roman" w:cs="Times New Roman"/>
          <w:color w:val="000000"/>
          <w:sz w:val="24"/>
          <w:szCs w:val="24"/>
        </w:rPr>
        <w:t>PeNSE</w:t>
      </w:r>
      <w:proofErr w:type="spellEnd"/>
      <w:r>
        <w:rPr>
          <w:rFonts w:ascii="Times New Roman" w:eastAsia="Times New Roman" w:hAnsi="Times New Roman" w:cs="Times New Roman"/>
          <w:color w:val="000000"/>
          <w:sz w:val="24"/>
          <w:szCs w:val="24"/>
        </w:rPr>
        <w:t>), revel</w:t>
      </w:r>
      <w:r>
        <w:rPr>
          <w:rFonts w:ascii="Times New Roman" w:eastAsia="Times New Roman" w:hAnsi="Times New Roman" w:cs="Times New Roman"/>
          <w:sz w:val="24"/>
          <w:szCs w:val="24"/>
        </w:rPr>
        <w:t>aram</w:t>
      </w:r>
      <w:r>
        <w:rPr>
          <w:rFonts w:ascii="Times New Roman" w:eastAsia="Times New Roman" w:hAnsi="Times New Roman" w:cs="Times New Roman"/>
          <w:color w:val="000000"/>
          <w:sz w:val="24"/>
          <w:szCs w:val="24"/>
        </w:rPr>
        <w:t xml:space="preserve"> que 25% dos estudantes de 13 a 17 anos já sofreram ataques físicos ou psicológicos dentro das próprias instituições de ensino (G1, 2026).  Além disso, a pesquisa </w:t>
      </w:r>
      <w:r>
        <w:rPr>
          <w:rFonts w:ascii="Times New Roman" w:eastAsia="Times New Roman" w:hAnsi="Times New Roman" w:cs="Times New Roman"/>
          <w:color w:val="000000"/>
          <w:sz w:val="24"/>
          <w:szCs w:val="24"/>
        </w:rPr>
        <w:t>também apontou que aproximadamente 28,9% desses adolescentes enfrentam sentimentos crônicos de tristeza, expondo a gravidade do cenário de vulnerabilidade e sofrimento subjetivo que se manifesta no cotidiano escolar (</w:t>
      </w:r>
      <w:r>
        <w:rPr>
          <w:rFonts w:ascii="Times New Roman" w:eastAsia="Times New Roman" w:hAnsi="Times New Roman" w:cs="Times New Roman"/>
          <w:sz w:val="24"/>
          <w:szCs w:val="24"/>
        </w:rPr>
        <w:t>Freire</w:t>
      </w:r>
      <w:r>
        <w:rPr>
          <w:rFonts w:ascii="Times New Roman" w:eastAsia="Times New Roman" w:hAnsi="Times New Roman" w:cs="Times New Roman"/>
          <w:color w:val="000000"/>
          <w:sz w:val="24"/>
          <w:szCs w:val="24"/>
        </w:rPr>
        <w:t xml:space="preserve">, 2026). </w:t>
      </w:r>
      <w:r>
        <w:rPr>
          <w:rFonts w:ascii="Times New Roman" w:eastAsia="Times New Roman" w:hAnsi="Times New Roman" w:cs="Times New Roman"/>
          <w:sz w:val="24"/>
          <w:szCs w:val="24"/>
        </w:rPr>
        <w:t>Mais do que um espaço de</w:t>
      </w:r>
      <w:r>
        <w:rPr>
          <w:rFonts w:ascii="Times New Roman" w:eastAsia="Times New Roman" w:hAnsi="Times New Roman" w:cs="Times New Roman"/>
          <w:sz w:val="24"/>
          <w:szCs w:val="24"/>
        </w:rPr>
        <w:t xml:space="preserve">stinado à transmissão de conhecimentos, a escola passou a ser reconhecida como um ambiente privilegiado para o desenvolvimento de ações voltadas à prevenção de agravos, à promoção da saúde e à formação cidadã (Guimarães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2026). Nesse contexto, a art</w:t>
      </w:r>
      <w:r>
        <w:rPr>
          <w:rFonts w:ascii="Times New Roman" w:eastAsia="Times New Roman" w:hAnsi="Times New Roman" w:cs="Times New Roman"/>
          <w:sz w:val="24"/>
          <w:szCs w:val="24"/>
        </w:rPr>
        <w:t>iculação entre os setores da saúde e da educação tornou-se elemento central para a construção de políticas públicas capazes de responder de forma integrada às necessidades da população escolar, em consonância com os princípios da promoção da saúde e da atu</w:t>
      </w:r>
      <w:r>
        <w:rPr>
          <w:rFonts w:ascii="Times New Roman" w:eastAsia="Times New Roman" w:hAnsi="Times New Roman" w:cs="Times New Roman"/>
          <w:sz w:val="24"/>
          <w:szCs w:val="24"/>
        </w:rPr>
        <w:t xml:space="preserve">ação sobre os determinantes sociais da saúde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w:t>
      </w:r>
    </w:p>
    <w:p w14:paraId="0000002B"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essa perspectiva ganhou maior relevância a partir da Constituição Federal de 1988, que estabeleceu a saúde e a educação como direitos sociais fundamentais e deveres do Estad</w:t>
      </w:r>
      <w:r>
        <w:rPr>
          <w:rFonts w:ascii="Times New Roman" w:eastAsia="Times New Roman" w:hAnsi="Times New Roman" w:cs="Times New Roman"/>
          <w:sz w:val="24"/>
          <w:szCs w:val="24"/>
        </w:rPr>
        <w:t xml:space="preserve">o (Brasil, 1988). A chamada Constituição Cidadã inaugurou um novo modelo de proteção social ao reconhecer a universalidade do acesso aos serviços públicos e ao criar as bases institucionais para a implementação do Sistema Único de Saúde (SUS), estruturado </w:t>
      </w:r>
      <w:r>
        <w:rPr>
          <w:rFonts w:ascii="Times New Roman" w:eastAsia="Times New Roman" w:hAnsi="Times New Roman" w:cs="Times New Roman"/>
          <w:sz w:val="24"/>
          <w:szCs w:val="24"/>
        </w:rPr>
        <w:t xml:space="preserve">sob os princípios da universalidade, integralidade e equidade (Brasil, 1988). Conforme destacam </w:t>
      </w:r>
      <w:proofErr w:type="spellStart"/>
      <w:r>
        <w:rPr>
          <w:rFonts w:ascii="Times New Roman" w:eastAsia="Times New Roman" w:hAnsi="Times New Roman" w:cs="Times New Roman"/>
          <w:sz w:val="24"/>
          <w:szCs w:val="24"/>
        </w:rPr>
        <w:t>Paschoalotto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(2025), a criação do SUS representou uma das mais importantes inovações institucionais do período democrático brasileiro, ampliando o papel</w:t>
      </w:r>
      <w:r>
        <w:rPr>
          <w:rFonts w:ascii="Times New Roman" w:eastAsia="Times New Roman" w:hAnsi="Times New Roman" w:cs="Times New Roman"/>
          <w:sz w:val="24"/>
          <w:szCs w:val="24"/>
        </w:rPr>
        <w:t xml:space="preserve"> do Estado na promoção da saúde e na redução das desigualdades sociais.</w:t>
      </w:r>
    </w:p>
    <w:p w14:paraId="0000002C"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constituição do SUS resultou diretamente do processo de Reforma Sanitária Brasileira, movimento político e social que defendeu a saúde como direito de cidadania e responsabilidade es</w:t>
      </w:r>
      <w:r>
        <w:rPr>
          <w:rFonts w:ascii="Times New Roman" w:eastAsia="Times New Roman" w:hAnsi="Times New Roman" w:cs="Times New Roman"/>
          <w:sz w:val="24"/>
          <w:szCs w:val="24"/>
        </w:rPr>
        <w:t>tatal (Barboza, 2023). De acordo com Barboza (2023), a Reforma Sanitária representou o início da democratização das políticas públicas, baseado na universalização do acesso, na participação social e na construção de novas capacidades institucionais voltada</w:t>
      </w:r>
      <w:r>
        <w:rPr>
          <w:rFonts w:ascii="Times New Roman" w:eastAsia="Times New Roman" w:hAnsi="Times New Roman" w:cs="Times New Roman"/>
          <w:sz w:val="24"/>
          <w:szCs w:val="24"/>
        </w:rPr>
        <w:t>s à garantia de direitos.</w:t>
      </w:r>
    </w:p>
    <w:p w14:paraId="0000002D"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Paralelamente, a agenda internacional de promoção da saúde passou por significativa transformação a partir da Primeira Conferência Internacional sobre Promoção da Saúde, realizada em Ottawa, em 1986. A Carta de Ottawa ampliou a co</w:t>
      </w:r>
      <w:r>
        <w:rPr>
          <w:rFonts w:ascii="Times New Roman" w:eastAsia="Times New Roman" w:hAnsi="Times New Roman" w:cs="Times New Roman"/>
          <w:sz w:val="24"/>
          <w:szCs w:val="24"/>
        </w:rPr>
        <w:t xml:space="preserve">mpreensão tradicional da saúde ao enfatizar seus determinantes sociais e ao defender a construção de políticas públicas saudáveis, ambientes favoráveis e ações intersetoriais capazes de promover melhores condições de vida para a população (WHO, 1986). Tal </w:t>
      </w:r>
      <w:r>
        <w:rPr>
          <w:rFonts w:ascii="Times New Roman" w:eastAsia="Times New Roman" w:hAnsi="Times New Roman" w:cs="Times New Roman"/>
          <w:sz w:val="24"/>
          <w:szCs w:val="24"/>
        </w:rPr>
        <w:t xml:space="preserve">perspectiva contribuiu para a criação de estratégias preventivas e reconheceu a escola como espaço estratégico para o desenvolvimento dessas ações (Guimarães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2026).</w:t>
      </w:r>
    </w:p>
    <w:p w14:paraId="0000002E"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ampliação da concepção de saúde também trouxe novos desafios para a ação estatal. Problemas relacionados às condições de vida da população passaram a exigir respostas articuladas entre diferentes setores governamentais. Assim, a governança intersetorial </w:t>
      </w:r>
      <w:r>
        <w:rPr>
          <w:rFonts w:ascii="Times New Roman" w:eastAsia="Times New Roman" w:hAnsi="Times New Roman" w:cs="Times New Roman"/>
          <w:sz w:val="24"/>
          <w:szCs w:val="24"/>
        </w:rPr>
        <w:t xml:space="preserve">surge como um mecanismo capaz de integrar políticas, atores e recursos em torno de objetivos comuns, especialmente em áreas caracterizadas por elevada complexidade social, como saúde e educação (Fernandes; Cruz; Silva, 2022). </w:t>
      </w:r>
    </w:p>
    <w:p w14:paraId="0000002F"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promoção da saúde no ambien</w:t>
      </w:r>
      <w:r>
        <w:rPr>
          <w:rFonts w:ascii="Times New Roman" w:eastAsia="Times New Roman" w:hAnsi="Times New Roman" w:cs="Times New Roman"/>
          <w:sz w:val="24"/>
          <w:szCs w:val="24"/>
        </w:rPr>
        <w:t xml:space="preserve">te escolar constitui um exemplo relevante desse tipo de arranjo institucional, uma vez que depende da coordenação permanente entre diferentes organizações públicas e níveis de governo. Conforme destacam Prado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(2022), a intersetorialidade é condição </w:t>
      </w:r>
      <w:r>
        <w:rPr>
          <w:rFonts w:ascii="Times New Roman" w:eastAsia="Times New Roman" w:hAnsi="Times New Roman" w:cs="Times New Roman"/>
          <w:sz w:val="24"/>
          <w:szCs w:val="24"/>
        </w:rPr>
        <w:t>fundamental para enfrentar problemas complexos que não podem ser solucionados por uma única política pública ou organização estatal.</w:t>
      </w:r>
    </w:p>
    <w:p w14:paraId="00000030"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Nessa direção, a aproximação entre saúde e educação revelou-se particularmente relevante diante da necessidade de desenvolv</w:t>
      </w:r>
      <w:r>
        <w:rPr>
          <w:rFonts w:ascii="Times New Roman" w:eastAsia="Times New Roman" w:hAnsi="Times New Roman" w:cs="Times New Roman"/>
          <w:sz w:val="24"/>
          <w:szCs w:val="24"/>
        </w:rPr>
        <w:t xml:space="preserve">er iniciativas voltadas à formação integral dos estudantes, à prevenção de doenças e à construção de hábitos saudáveis desde a infância (Schneider; Magalhães; Almeida, 2022). </w:t>
      </w:r>
    </w:p>
    <w:p w14:paraId="00000031"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institucionalização dessa agenda ocorreu de forma mais evidente com a criação do Programa Saúde na Escola (PSE), em 2007, resultado da articulação entre os Ministérios da Saúde e da Educação (Brasil, 2007). O programa representou um marco na consolidação</w:t>
      </w:r>
      <w:r>
        <w:rPr>
          <w:rFonts w:ascii="Times New Roman" w:eastAsia="Times New Roman" w:hAnsi="Times New Roman" w:cs="Times New Roman"/>
          <w:sz w:val="24"/>
          <w:szCs w:val="24"/>
        </w:rPr>
        <w:t xml:space="preserve"> da governança intersetorial das políticas de saúde escolar ao integrar ações de promoção, prevenção e atenção à saúde no âmbito da educação básica (BRASIL, 2007). Sob essa ótica, investigações empíricas sobre a sua dinâmica de implementação destacam que a</w:t>
      </w:r>
      <w:r>
        <w:rPr>
          <w:rFonts w:ascii="Times New Roman" w:eastAsia="Times New Roman" w:hAnsi="Times New Roman" w:cs="Times New Roman"/>
          <w:sz w:val="24"/>
          <w:szCs w:val="24"/>
        </w:rPr>
        <w:t xml:space="preserve"> articulação entre os setores de saúde e de educação constitui um dos principais diferenciais da política, sendo determinante para consolidar e fortalecer estratégias integradas de promoção da saúde nos territórios escolares (Rumor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w:t>
      </w:r>
    </w:p>
    <w:p w14:paraId="00000032" w14:textId="77777777" w:rsidR="00333B43" w:rsidRDefault="00651A03">
      <w:pPr>
        <w:spacing w:after="0" w:line="240" w:lineRule="auto"/>
        <w:ind w:firstLine="700"/>
        <w:jc w:val="both"/>
        <w:rPr>
          <w:rFonts w:ascii="Times New Roman" w:eastAsia="Times New Roman" w:hAnsi="Times New Roman" w:cs="Times New Roman"/>
          <w:sz w:val="24"/>
          <w:szCs w:val="24"/>
        </w:rPr>
      </w:pPr>
      <w:bookmarkStart w:id="1" w:name="_heading=h.vg3svt7ozex1" w:colFirst="0" w:colLast="0"/>
      <w:bookmarkEnd w:id="1"/>
      <w:r>
        <w:rPr>
          <w:rFonts w:ascii="Times New Roman" w:eastAsia="Times New Roman" w:hAnsi="Times New Roman" w:cs="Times New Roman"/>
          <w:sz w:val="24"/>
          <w:szCs w:val="24"/>
        </w:rPr>
        <w:t>Diante do</w:t>
      </w:r>
      <w:r>
        <w:rPr>
          <w:rFonts w:ascii="Times New Roman" w:eastAsia="Times New Roman" w:hAnsi="Times New Roman" w:cs="Times New Roman"/>
          <w:sz w:val="24"/>
          <w:szCs w:val="24"/>
        </w:rPr>
        <w:t xml:space="preserve"> exposto, o presente artigo tem como objetivo analisar a evolução das políticas públicas de promoção da saúde no ambiente escolar brasileiro, desde a Constituição Federal de 1988 até a criação do Programa Saúde na Escola. Busca-se compreender como os marco</w:t>
      </w:r>
      <w:r>
        <w:rPr>
          <w:rFonts w:ascii="Times New Roman" w:eastAsia="Times New Roman" w:hAnsi="Times New Roman" w:cs="Times New Roman"/>
          <w:sz w:val="24"/>
          <w:szCs w:val="24"/>
        </w:rPr>
        <w:t xml:space="preserve">s normativos, as transformações institucionais e o fortalecimento de mecanismos de governança intersetorial contribuíram para a construção de capacidades estatais voltadas à formulação e implementação de políticas integradas entre saúde e educação. Assim, </w:t>
      </w:r>
      <w:r>
        <w:rPr>
          <w:rFonts w:ascii="Times New Roman" w:eastAsia="Times New Roman" w:hAnsi="Times New Roman" w:cs="Times New Roman"/>
          <w:sz w:val="24"/>
          <w:szCs w:val="24"/>
        </w:rPr>
        <w:t>a questão que orienta a pesquisa é: de que maneira a evolução do arcabouço institucional das políticas de saúde e educação, após a Constituição de 1988, possibilitou a construção de capacidades estatais e mecanismos de coordenação intersetorial que culmina</w:t>
      </w:r>
      <w:r>
        <w:rPr>
          <w:rFonts w:ascii="Times New Roman" w:eastAsia="Times New Roman" w:hAnsi="Times New Roman" w:cs="Times New Roman"/>
          <w:sz w:val="24"/>
          <w:szCs w:val="24"/>
        </w:rPr>
        <w:t>ram na institucionalização do Programa Saúde na Escola?</w:t>
      </w:r>
    </w:p>
    <w:p w14:paraId="00000033"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Trata-se de um ensaio teórico e foram examinados marcos normativos relacionados às políticas de saúde e educação no Brasil, incluindo a Constituição Federal de 1988, a legislação do Sistema Único de S</w:t>
      </w:r>
      <w:r>
        <w:rPr>
          <w:rFonts w:ascii="Times New Roman" w:eastAsia="Times New Roman" w:hAnsi="Times New Roman" w:cs="Times New Roman"/>
          <w:sz w:val="24"/>
          <w:szCs w:val="24"/>
        </w:rPr>
        <w:t>aúde e os documentos que instituem o Programa Saúde na Escola. Complementarmente, foram analisados estudos sobre políticas públicas, promoção da saúde, intersetorialidade e capacidades estatais, a fim de compreender a trajetória institucional das políticas</w:t>
      </w:r>
      <w:r>
        <w:rPr>
          <w:rFonts w:ascii="Times New Roman" w:eastAsia="Times New Roman" w:hAnsi="Times New Roman" w:cs="Times New Roman"/>
          <w:sz w:val="24"/>
          <w:szCs w:val="24"/>
        </w:rPr>
        <w:t xml:space="preserve"> de saúde escolar brasileiras.</w:t>
      </w:r>
    </w:p>
    <w:p w14:paraId="00000034"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eastAsia="Times New Roman" w:hAnsi="Times New Roman" w:cs="Times New Roman"/>
          <w:color w:val="000000"/>
          <w:sz w:val="24"/>
          <w:szCs w:val="24"/>
        </w:rPr>
      </w:pPr>
    </w:p>
    <w:p w14:paraId="00000035" w14:textId="77777777" w:rsidR="00333B43" w:rsidRDefault="00651A03">
      <w:pPr>
        <w:pStyle w:val="Ttulo1"/>
        <w:numPr>
          <w:ilvl w:val="0"/>
          <w:numId w:val="1"/>
        </w:numPr>
        <w:spacing w:line="240" w:lineRule="auto"/>
        <w:jc w:val="both"/>
        <w:rPr>
          <w:rFonts w:ascii="Times New Roman" w:eastAsia="Times New Roman" w:hAnsi="Times New Roman" w:cs="Times New Roman"/>
          <w:b/>
          <w:bCs/>
          <w:color w:val="000000"/>
          <w:sz w:val="24"/>
          <w:szCs w:val="24"/>
        </w:rPr>
      </w:pPr>
      <w:bookmarkStart w:id="2" w:name="_heading=h.lxpez4kvmwjb" w:colFirst="0" w:colLast="0"/>
      <w:bookmarkEnd w:id="2"/>
      <w:r>
        <w:rPr>
          <w:rFonts w:ascii="Times New Roman" w:eastAsia="Times New Roman" w:hAnsi="Times New Roman" w:cs="Times New Roman"/>
          <w:b/>
          <w:bCs/>
          <w:color w:val="000000"/>
          <w:sz w:val="24"/>
          <w:szCs w:val="24"/>
        </w:rPr>
        <w:t>A CONSTITUIÇÃO FEDERAL DE 1988 E A CONSTRUÇÃO DO DIREITO À SAÚDE E À EDUCAÇÃO</w:t>
      </w:r>
    </w:p>
    <w:p w14:paraId="00000036" w14:textId="77777777" w:rsidR="00333B43" w:rsidRDefault="00333B43">
      <w:pPr>
        <w:spacing w:line="240" w:lineRule="auto"/>
        <w:rPr>
          <w:rFonts w:ascii="Times New Roman" w:eastAsia="Times New Roman" w:hAnsi="Times New Roman" w:cs="Times New Roman"/>
          <w:sz w:val="24"/>
          <w:szCs w:val="24"/>
        </w:rPr>
      </w:pPr>
    </w:p>
    <w:p w14:paraId="00000037"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promulgação da Constituição Federal de 1988 representou um marco na reconstrução democrática brasileira após mais de duas décadas de regime mil</w:t>
      </w:r>
      <w:r>
        <w:rPr>
          <w:rFonts w:ascii="Times New Roman" w:eastAsia="Times New Roman" w:hAnsi="Times New Roman" w:cs="Times New Roman"/>
          <w:sz w:val="24"/>
          <w:szCs w:val="24"/>
        </w:rPr>
        <w:t>itar, consolidando-se como resultado de intensas mobilizações sociais e políticas que tensionaram o período de transição (Silva, 2021). Nesse processo histórico, a chamada Constituição Cidadã ampliou significativamente o rol de direitos fundamentais e rede</w:t>
      </w:r>
      <w:r>
        <w:rPr>
          <w:rFonts w:ascii="Times New Roman" w:eastAsia="Times New Roman" w:hAnsi="Times New Roman" w:cs="Times New Roman"/>
          <w:sz w:val="24"/>
          <w:szCs w:val="24"/>
        </w:rPr>
        <w:t>finiu o papel do Estado na promoção do bem-estar social (Fabiano; Borges Filho, 2024). Desse modo, saúde e educação passaram a ocupar posição central no sistema de proteção social brasileiro, sendo reconhecidas como direitos de cidadania e deveres do poder</w:t>
      </w:r>
      <w:r>
        <w:rPr>
          <w:rFonts w:ascii="Times New Roman" w:eastAsia="Times New Roman" w:hAnsi="Times New Roman" w:cs="Times New Roman"/>
          <w:sz w:val="24"/>
          <w:szCs w:val="24"/>
        </w:rPr>
        <w:t xml:space="preserve"> público (Brasil, 1988).</w:t>
      </w:r>
    </w:p>
    <w:p w14:paraId="00000038"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redemocratização do país foi acompanhada pela incorporação de demandas históricas de diferentes movimentos sociais que reivindicavam a ampliação dos direitos sociais e o fortalecimento das políticas públicas na nova ordem constit</w:t>
      </w:r>
      <w:r>
        <w:rPr>
          <w:rFonts w:ascii="Times New Roman" w:eastAsia="Times New Roman" w:hAnsi="Times New Roman" w:cs="Times New Roman"/>
          <w:sz w:val="24"/>
          <w:szCs w:val="24"/>
        </w:rPr>
        <w:t xml:space="preserve">ucional (Barboza, 2023). Entre essas demandas destacou-se o movimento da Reforma Sanitária Brasileira, </w:t>
      </w:r>
      <w:r>
        <w:rPr>
          <w:rFonts w:ascii="Times New Roman" w:eastAsia="Times New Roman" w:hAnsi="Times New Roman" w:cs="Times New Roman"/>
          <w:sz w:val="24"/>
          <w:szCs w:val="24"/>
        </w:rPr>
        <w:lastRenderedPageBreak/>
        <w:t>que defendia a universalização do acesso à saúde e a superação das desigualdades produzidas pelo modelo anterior, caracterizado pela segmentação e pela e</w:t>
      </w:r>
      <w:r>
        <w:rPr>
          <w:rFonts w:ascii="Times New Roman" w:eastAsia="Times New Roman" w:hAnsi="Times New Roman" w:cs="Times New Roman"/>
          <w:sz w:val="24"/>
          <w:szCs w:val="24"/>
        </w:rPr>
        <w:t>xclusão de parcela significativa da população do acesso aos serviços básicos (Nascimento, 2025). Conforme argumenta Barboza (2023), a Reforma Sanitária constituiu um dos mais importantes processos de transformação institucional do período democrático, ao a</w:t>
      </w:r>
      <w:r>
        <w:rPr>
          <w:rFonts w:ascii="Times New Roman" w:eastAsia="Times New Roman" w:hAnsi="Times New Roman" w:cs="Times New Roman"/>
          <w:sz w:val="24"/>
          <w:szCs w:val="24"/>
        </w:rPr>
        <w:t>ssociar a democratização política à ampliação da cidadania social.</w:t>
      </w:r>
    </w:p>
    <w:p w14:paraId="00000039"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campo da saúde, a Constituição Federal inovou ao estabelecer, em seu artigo 196, que a saúde é direito de todos e dever do Estado, devendo ser garantida mediante políticas sociais e econ</w:t>
      </w:r>
      <w:r>
        <w:rPr>
          <w:rFonts w:ascii="Times New Roman" w:eastAsia="Times New Roman" w:hAnsi="Times New Roman" w:cs="Times New Roman"/>
          <w:sz w:val="24"/>
          <w:szCs w:val="24"/>
        </w:rPr>
        <w:t>ômicas destinadas à redução dos riscos de doenças e ao acesso universal e igualitário às ações e serviços de saúde (BRASIL, 1988). Essa concepção rompeu com modelos restritivos de assistência e incorporou uma visão ampliada da saúde, relacionada às condiçõ</w:t>
      </w:r>
      <w:r>
        <w:rPr>
          <w:rFonts w:ascii="Times New Roman" w:eastAsia="Times New Roman" w:hAnsi="Times New Roman" w:cs="Times New Roman"/>
          <w:sz w:val="24"/>
          <w:szCs w:val="24"/>
        </w:rPr>
        <w:t xml:space="preserve">es de vida, ao desenvolvimento social e à promoção do bem-estar coletivo (Guimarães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2026). </w:t>
      </w:r>
    </w:p>
    <w:p w14:paraId="0000003A"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desses fundamentos constitucionais foram estabelecidas as bases para a criação do SUS, posteriormente regulamentado pelas Leis nº 8.080 e nº 8.142,</w:t>
      </w:r>
      <w:r>
        <w:rPr>
          <w:rFonts w:ascii="Times New Roman" w:eastAsia="Times New Roman" w:hAnsi="Times New Roman" w:cs="Times New Roman"/>
          <w:sz w:val="24"/>
          <w:szCs w:val="24"/>
        </w:rPr>
        <w:t xml:space="preserve"> ambas de 1990. O SUS passou a organizar a política nacional de saúde com base nos princípios da universalidade, integralidade e equidade, além de instituir mecanismos de descentralização e participação social. De acordo com Nascimento (2025), a criação do</w:t>
      </w:r>
      <w:r>
        <w:rPr>
          <w:rFonts w:ascii="Times New Roman" w:eastAsia="Times New Roman" w:hAnsi="Times New Roman" w:cs="Times New Roman"/>
          <w:sz w:val="24"/>
          <w:szCs w:val="24"/>
        </w:rPr>
        <w:t xml:space="preserve"> sistema representou uma inovação institucional sem precedentes na história brasileira, ao estruturar uma política pública de caráter universal orientada pela garantia de direitos.</w:t>
      </w:r>
    </w:p>
    <w:p w14:paraId="0000003B"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consolidação do SUS também projetou o Brasil como uma referência internac</w:t>
      </w:r>
      <w:r>
        <w:rPr>
          <w:rFonts w:ascii="Times New Roman" w:eastAsia="Times New Roman" w:hAnsi="Times New Roman" w:cs="Times New Roman"/>
          <w:sz w:val="24"/>
          <w:szCs w:val="24"/>
        </w:rPr>
        <w:t>ional na implementação de sistemas universais de saúde em países de renda média. No entanto, a despeito dos avanços observados na ampliação do acesso e na cobertura de serviços básicos, persistem entraves estruturais de grande monta no cenário nacional. Co</w:t>
      </w:r>
      <w:r>
        <w:rPr>
          <w:rFonts w:ascii="Times New Roman" w:eastAsia="Times New Roman" w:hAnsi="Times New Roman" w:cs="Times New Roman"/>
          <w:sz w:val="24"/>
          <w:szCs w:val="24"/>
        </w:rPr>
        <w:t xml:space="preserve">nforme evidenciam análises recentes sobre a resiliência do sistema, a trajetória do SUS é marcada pelo tensionamento constante entre expressivas conquistas sociais e desafios históricos complexos, que incluem o </w:t>
      </w:r>
      <w:proofErr w:type="spellStart"/>
      <w:r>
        <w:rPr>
          <w:rFonts w:ascii="Times New Roman" w:eastAsia="Times New Roman" w:hAnsi="Times New Roman" w:cs="Times New Roman"/>
          <w:sz w:val="24"/>
          <w:szCs w:val="24"/>
        </w:rPr>
        <w:t>subfinanciamento</w:t>
      </w:r>
      <w:proofErr w:type="spellEnd"/>
      <w:r>
        <w:rPr>
          <w:rFonts w:ascii="Times New Roman" w:eastAsia="Times New Roman" w:hAnsi="Times New Roman" w:cs="Times New Roman"/>
          <w:sz w:val="24"/>
          <w:szCs w:val="24"/>
        </w:rPr>
        <w:t xml:space="preserve"> crônico, as profundas assime</w:t>
      </w:r>
      <w:r>
        <w:rPr>
          <w:rFonts w:ascii="Times New Roman" w:eastAsia="Times New Roman" w:hAnsi="Times New Roman" w:cs="Times New Roman"/>
          <w:sz w:val="24"/>
          <w:szCs w:val="24"/>
        </w:rPr>
        <w:t>trias regionais e a necessidade de aprimorar os mecanismos de coordenação federativa e governança (</w:t>
      </w:r>
      <w:proofErr w:type="spellStart"/>
      <w:r>
        <w:rPr>
          <w:rFonts w:ascii="Times New Roman" w:eastAsia="Times New Roman" w:hAnsi="Times New Roman" w:cs="Times New Roman"/>
          <w:sz w:val="24"/>
          <w:szCs w:val="24"/>
        </w:rPr>
        <w:t>Paschoalotto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2025). </w:t>
      </w:r>
    </w:p>
    <w:p w14:paraId="0000003C"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campo da educação, a Constituição de 1988 consolidou a educação como direito social fundamental. O artigo 205 estabelece que </w:t>
      </w:r>
      <w:r>
        <w:rPr>
          <w:rFonts w:ascii="Times New Roman" w:eastAsia="Times New Roman" w:hAnsi="Times New Roman" w:cs="Times New Roman"/>
          <w:sz w:val="24"/>
          <w:szCs w:val="24"/>
        </w:rPr>
        <w:t>a educação é direito de todos e dever do Estado e da família, devendo ser promovida com vistas ao pleno desenvolvimento da pessoa, ao preparo para o exercício da cidadania e à qualificação para o trabalho (Brasil, 1988). Ao reconhecer a educação como instr</w:t>
      </w:r>
      <w:r>
        <w:rPr>
          <w:rFonts w:ascii="Times New Roman" w:eastAsia="Times New Roman" w:hAnsi="Times New Roman" w:cs="Times New Roman"/>
          <w:sz w:val="24"/>
          <w:szCs w:val="24"/>
        </w:rPr>
        <w:t>umento de desenvolvimento humano e inclusão social, o texto constitucional ampliou as responsabilidades do Estado na garantia de condições adequadas para a aprendizagem e o desenvolvimento integral dos estudantes, exigindo a permanente articulação federati</w:t>
      </w:r>
      <w:r>
        <w:rPr>
          <w:rFonts w:ascii="Times New Roman" w:eastAsia="Times New Roman" w:hAnsi="Times New Roman" w:cs="Times New Roman"/>
          <w:sz w:val="24"/>
          <w:szCs w:val="24"/>
        </w:rPr>
        <w:t xml:space="preserve">va para assegurar o financiamento público e a equidade no acesso (Fabiano; Borges Filho, 2024). </w:t>
      </w:r>
    </w:p>
    <w:p w14:paraId="0000003D" w14:textId="4368FE29"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 essa lente, a convergência prática entre os direitos constitucionais à saúde e à educação pavimentou o caminho para a formulação de políticas públicas inte</w:t>
      </w:r>
      <w:r>
        <w:rPr>
          <w:rFonts w:ascii="Times New Roman" w:eastAsia="Times New Roman" w:hAnsi="Times New Roman" w:cs="Times New Roman"/>
          <w:sz w:val="24"/>
          <w:szCs w:val="24"/>
        </w:rPr>
        <w:t xml:space="preserve">rsetoriais direcionadas especificamente ao público </w:t>
      </w:r>
      <w:r w:rsidR="008B2D9E">
        <w:rPr>
          <w:rFonts w:ascii="Times New Roman" w:eastAsia="Times New Roman" w:hAnsi="Times New Roman" w:cs="Times New Roman"/>
          <w:sz w:val="24"/>
          <w:szCs w:val="24"/>
        </w:rPr>
        <w:t>infanto-juvenil</w:t>
      </w:r>
      <w:r>
        <w:rPr>
          <w:rFonts w:ascii="Times New Roman" w:eastAsia="Times New Roman" w:hAnsi="Times New Roman" w:cs="Times New Roman"/>
          <w:sz w:val="24"/>
          <w:szCs w:val="24"/>
        </w:rPr>
        <w:t xml:space="preserve">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Embora a Carta Magna de 1988 não fizesse menção explícita a programas de saúde em ambiente escolar, os princípios da integralidade do cuidado e do desenvolvimento p</w:t>
      </w:r>
      <w:r>
        <w:rPr>
          <w:rFonts w:ascii="Times New Roman" w:eastAsia="Times New Roman" w:hAnsi="Times New Roman" w:cs="Times New Roman"/>
          <w:sz w:val="24"/>
          <w:szCs w:val="24"/>
        </w:rPr>
        <w:t xml:space="preserve">leno do sujeito estabeleceram os pilares normativos e as bases institucionais indispensáveis para que, futuramente, as redes de saúde e educação fossem integradas sob o prisma da promoção da saúde e da intersetorialidade (Fernandes; Cruz; Silva, 2022). </w:t>
      </w:r>
    </w:p>
    <w:p w14:paraId="0000003E" w14:textId="77777777" w:rsidR="00333B43" w:rsidRDefault="00651A03">
      <w:pPr>
        <w:spacing w:after="0" w:line="240" w:lineRule="auto"/>
        <w:ind w:firstLine="700"/>
        <w:jc w:val="both"/>
        <w:rPr>
          <w:rFonts w:ascii="Times New Roman" w:eastAsia="Times New Roman" w:hAnsi="Times New Roman" w:cs="Times New Roman"/>
          <w:sz w:val="24"/>
          <w:szCs w:val="24"/>
        </w:rPr>
      </w:pPr>
      <w:bookmarkStart w:id="3" w:name="_heading=h.17ga6wghcr3h" w:colFirst="0" w:colLast="0"/>
      <w:bookmarkEnd w:id="3"/>
      <w:r>
        <w:rPr>
          <w:rFonts w:ascii="Times New Roman" w:eastAsia="Times New Roman" w:hAnsi="Times New Roman" w:cs="Times New Roman"/>
          <w:sz w:val="24"/>
          <w:szCs w:val="24"/>
        </w:rPr>
        <w:t>So</w:t>
      </w:r>
      <w:r>
        <w:rPr>
          <w:rFonts w:ascii="Times New Roman" w:eastAsia="Times New Roman" w:hAnsi="Times New Roman" w:cs="Times New Roman"/>
          <w:sz w:val="24"/>
          <w:szCs w:val="24"/>
        </w:rPr>
        <w:t>b a perspectiva da governança pública, a Constituição de 1988 inaugurou um modelo de gestão baseado na descentralização, na cooperação federativa e na participação social (BRASIL, 1988). Nesse arranjo institucional, a descentralização político-</w:t>
      </w:r>
      <w:r>
        <w:rPr>
          <w:rFonts w:ascii="Times New Roman" w:eastAsia="Times New Roman" w:hAnsi="Times New Roman" w:cs="Times New Roman"/>
          <w:sz w:val="24"/>
          <w:szCs w:val="24"/>
        </w:rPr>
        <w:lastRenderedPageBreak/>
        <w:t>administrati</w:t>
      </w:r>
      <w:r>
        <w:rPr>
          <w:rFonts w:ascii="Times New Roman" w:eastAsia="Times New Roman" w:hAnsi="Times New Roman" w:cs="Times New Roman"/>
          <w:sz w:val="24"/>
          <w:szCs w:val="24"/>
        </w:rPr>
        <w:t>va deslocou a tomada de decisão do nível federal e delegou responsabilidades cruciais aos estados e municípios, exigindo destes entes subnacionais a capacidade de planejar e executar ações adaptadas às complexas heterogeneidades de seus territórios (Barboz</w:t>
      </w:r>
      <w:r>
        <w:rPr>
          <w:rFonts w:ascii="Times New Roman" w:eastAsia="Times New Roman" w:hAnsi="Times New Roman" w:cs="Times New Roman"/>
          <w:sz w:val="24"/>
          <w:szCs w:val="24"/>
        </w:rPr>
        <w:t>a, 2023). Esse desenho federativo descentralizado tornou-se um pilar estruturante para a viabilização de políticas complexas, cuja efetividade prática e capacidade de reduzir iniquidades dependem diretamente da governança intersetorial e da integração coop</w:t>
      </w:r>
      <w:r>
        <w:rPr>
          <w:rFonts w:ascii="Times New Roman" w:eastAsia="Times New Roman" w:hAnsi="Times New Roman" w:cs="Times New Roman"/>
          <w:sz w:val="24"/>
          <w:szCs w:val="24"/>
        </w:rPr>
        <w:t xml:space="preserve">erativa entre múltiplos setores, atores governamentais e a sociedade civil organizada nos territórios locais (Prado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w:t>
      </w:r>
    </w:p>
    <w:p w14:paraId="0000003F" w14:textId="77777777" w:rsidR="00333B43" w:rsidRDefault="00651A0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a gradual maturação desses arranjos institucionais culminou na institucionalização do PSE, evidenciando o papel de </w:t>
      </w:r>
      <w:r>
        <w:rPr>
          <w:rFonts w:ascii="Times New Roman" w:eastAsia="Times New Roman" w:hAnsi="Times New Roman" w:cs="Times New Roman"/>
          <w:sz w:val="24"/>
          <w:szCs w:val="24"/>
        </w:rPr>
        <w:t>destaque do marco constitucional de 1988 para a formulação de políticas integradas de promoção da saúde. Sob essa perspectiva, a capacidade do poder público de pactuar e coordenar ações entre diferentes setores governamentais consolida-se como preceito ind</w:t>
      </w:r>
      <w:r>
        <w:rPr>
          <w:rFonts w:ascii="Times New Roman" w:eastAsia="Times New Roman" w:hAnsi="Times New Roman" w:cs="Times New Roman"/>
          <w:sz w:val="24"/>
          <w:szCs w:val="24"/>
        </w:rPr>
        <w:t>ispensável para a implementação efetiva de políticas intersetoriais de proteção social nos municípios brasileiros (</w:t>
      </w:r>
      <w:proofErr w:type="spellStart"/>
      <w:r>
        <w:rPr>
          <w:rFonts w:ascii="Times New Roman" w:eastAsia="Times New Roman" w:hAnsi="Times New Roman" w:cs="Times New Roman"/>
          <w:sz w:val="24"/>
          <w:szCs w:val="24"/>
        </w:rPr>
        <w:t>Munslinger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Balestrin</w:t>
      </w:r>
      <w:proofErr w:type="spellEnd"/>
      <w:r>
        <w:rPr>
          <w:rFonts w:ascii="Times New Roman" w:eastAsia="Times New Roman" w:hAnsi="Times New Roman" w:cs="Times New Roman"/>
          <w:sz w:val="24"/>
          <w:szCs w:val="24"/>
        </w:rPr>
        <w:t>, 2024). Desse modo, o PSE firma-se como um elo territorial estratégico entre a educação básica e a Atenção Primária à S</w:t>
      </w:r>
      <w:r>
        <w:rPr>
          <w:rFonts w:ascii="Times New Roman" w:eastAsia="Times New Roman" w:hAnsi="Times New Roman" w:cs="Times New Roman"/>
          <w:sz w:val="24"/>
          <w:szCs w:val="24"/>
        </w:rPr>
        <w:t xml:space="preserve">aúde, traduzindo as diretrizes constitucionais em resultados concretos que ampliam o acesso aos serviços públicos e atuam ativamente na redução de desigualdades sociais (Sepúlveda, 2026). </w:t>
      </w:r>
    </w:p>
    <w:p w14:paraId="00000040" w14:textId="77777777" w:rsidR="00333B43" w:rsidRDefault="00651A03">
      <w:pPr>
        <w:pStyle w:val="Ttulo1"/>
        <w:numPr>
          <w:ilvl w:val="0"/>
          <w:numId w:val="1"/>
        </w:num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 PROMOÇÃO DA SAÚDE COMO PARADIGMA DAS POLÍTICAS PÚBLICAS BRASILEIR</w:t>
      </w:r>
      <w:r>
        <w:rPr>
          <w:rFonts w:ascii="Times New Roman" w:eastAsia="Times New Roman" w:hAnsi="Times New Roman" w:cs="Times New Roman"/>
          <w:b/>
          <w:bCs/>
          <w:color w:val="000000"/>
          <w:sz w:val="24"/>
          <w:szCs w:val="24"/>
        </w:rPr>
        <w:t>AS</w:t>
      </w:r>
    </w:p>
    <w:p w14:paraId="00000041" w14:textId="77777777" w:rsidR="00333B43" w:rsidRDefault="00333B43">
      <w:pPr>
        <w:spacing w:line="240" w:lineRule="auto"/>
        <w:rPr>
          <w:rFonts w:ascii="Times New Roman" w:eastAsia="Times New Roman" w:hAnsi="Times New Roman" w:cs="Times New Roman"/>
          <w:sz w:val="24"/>
          <w:szCs w:val="24"/>
        </w:rPr>
      </w:pPr>
    </w:p>
    <w:p w14:paraId="00000042"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consolidação do SUS ocorreu paralelamente à incorporação de novas concepções sobre saúde e desenvolvimento social que emergiram no cenário internacional a partir da década de 1980. Nesse contexto, a promoção da saúde passou a ocupar posição estratég</w:t>
      </w:r>
      <w:r>
        <w:rPr>
          <w:rFonts w:ascii="Times New Roman" w:eastAsia="Times New Roman" w:hAnsi="Times New Roman" w:cs="Times New Roman"/>
          <w:sz w:val="24"/>
          <w:szCs w:val="24"/>
        </w:rPr>
        <w:t xml:space="preserve">ica nas agendas governamentais ao propor uma compreensão ampliada do processo saúde-doença, superando abordagens centradas exclusivamente no tratamento de enfermidades (Monteiro; </w:t>
      </w:r>
      <w:proofErr w:type="spellStart"/>
      <w:r>
        <w:rPr>
          <w:rFonts w:ascii="Times New Roman" w:eastAsia="Times New Roman" w:hAnsi="Times New Roman" w:cs="Times New Roman"/>
          <w:sz w:val="24"/>
          <w:szCs w:val="24"/>
        </w:rPr>
        <w:t>Brigeiro</w:t>
      </w:r>
      <w:proofErr w:type="spellEnd"/>
      <w:r>
        <w:rPr>
          <w:rFonts w:ascii="Times New Roman" w:eastAsia="Times New Roman" w:hAnsi="Times New Roman" w:cs="Times New Roman"/>
          <w:sz w:val="24"/>
          <w:szCs w:val="24"/>
        </w:rPr>
        <w:t>, 2024). Essa perspectiva influenciou significativamente a formulação</w:t>
      </w:r>
      <w:r>
        <w:rPr>
          <w:rFonts w:ascii="Times New Roman" w:eastAsia="Times New Roman" w:hAnsi="Times New Roman" w:cs="Times New Roman"/>
          <w:sz w:val="24"/>
          <w:szCs w:val="24"/>
        </w:rPr>
        <w:t xml:space="preserve"> das políticas públicas brasileiras durante os anos 1990 e início dos anos 2000, contribuindo para o fortalecimento de ações preventivas, educativas e intersetoriais (Guimarães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2026).</w:t>
      </w:r>
    </w:p>
    <w:p w14:paraId="00000043"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dos principais marcos dessa transformação foi a Carta de Ottawa, documento que redefiniu o conceito de saúde ao associá-lo às condições sociais, econômicas, culturais e ambientais que influenciam a qualidade de vida da população (WHO, 1986). A promoção </w:t>
      </w:r>
      <w:r>
        <w:rPr>
          <w:rFonts w:ascii="Times New Roman" w:eastAsia="Times New Roman" w:hAnsi="Times New Roman" w:cs="Times New Roman"/>
          <w:sz w:val="24"/>
          <w:szCs w:val="24"/>
        </w:rPr>
        <w:t>da saúde passou a ser compreendida como o processo de capacitação dos indivíduos e das comunidades para aumentar o controle sobre os determinantes de sua própria saúde, enfatizando a necessidade de construção de políticas públicas saudáveis, criação de amb</w:t>
      </w:r>
      <w:r>
        <w:rPr>
          <w:rFonts w:ascii="Times New Roman" w:eastAsia="Times New Roman" w:hAnsi="Times New Roman" w:cs="Times New Roman"/>
          <w:sz w:val="24"/>
          <w:szCs w:val="24"/>
        </w:rPr>
        <w:t>ientes favoráveis, fortalecimento da ação comunitária, desenvolvimento de habilidades pessoais e reorientação dos serviços de saúde (Guimarães et al., 2026).</w:t>
      </w:r>
    </w:p>
    <w:p w14:paraId="00000044"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nova concepção representou uma ruptura importante com o modelo biomédico tradicional, histori</w:t>
      </w:r>
      <w:r>
        <w:rPr>
          <w:rFonts w:ascii="Times New Roman" w:eastAsia="Times New Roman" w:hAnsi="Times New Roman" w:cs="Times New Roman"/>
          <w:sz w:val="24"/>
          <w:szCs w:val="24"/>
        </w:rPr>
        <w:t xml:space="preserve">camente orientado pela centralidade da doença, do diagnóstico e da assistência curativa (Monteiro; </w:t>
      </w:r>
      <w:proofErr w:type="spellStart"/>
      <w:r>
        <w:rPr>
          <w:rFonts w:ascii="Times New Roman" w:eastAsia="Times New Roman" w:hAnsi="Times New Roman" w:cs="Times New Roman"/>
          <w:sz w:val="24"/>
          <w:szCs w:val="24"/>
        </w:rPr>
        <w:t>Brigeiro</w:t>
      </w:r>
      <w:proofErr w:type="spellEnd"/>
      <w:r>
        <w:rPr>
          <w:rFonts w:ascii="Times New Roman" w:eastAsia="Times New Roman" w:hAnsi="Times New Roman" w:cs="Times New Roman"/>
          <w:sz w:val="24"/>
          <w:szCs w:val="24"/>
        </w:rPr>
        <w:t xml:space="preserve">, 2024). Conforme destacam Prado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a promoção da saúde não se limita à prevenção de enfermidades específicas, mas busca atuar sobre os determinantes sociais que condicionam as oportunidades de vida dos indivíduos e grupos sociais. </w:t>
      </w:r>
    </w:p>
    <w:p w14:paraId="00000045"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incorporação desse paradigma acompanha transfo</w:t>
      </w:r>
      <w:r>
        <w:rPr>
          <w:rFonts w:ascii="Times New Roman" w:eastAsia="Times New Roman" w:hAnsi="Times New Roman" w:cs="Times New Roman"/>
          <w:sz w:val="24"/>
          <w:szCs w:val="24"/>
        </w:rPr>
        <w:t xml:space="preserve">rmações observadas internacionalmente nas últimas décadas e contribuiu para fortalecer a compreensão da saúde como elemento fundamental do desenvolvimento social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Sob essa perspectiva, investimentos em educação, saneamento, aliment</w:t>
      </w:r>
      <w:r>
        <w:rPr>
          <w:rFonts w:ascii="Times New Roman" w:eastAsia="Times New Roman" w:hAnsi="Times New Roman" w:cs="Times New Roman"/>
          <w:sz w:val="24"/>
          <w:szCs w:val="24"/>
        </w:rPr>
        <w:t xml:space="preserve">ação, habitação e proteção social passaram a ser reconhecidos como componentes essenciais das estratégias </w:t>
      </w:r>
      <w:r>
        <w:rPr>
          <w:rFonts w:ascii="Times New Roman" w:eastAsia="Times New Roman" w:hAnsi="Times New Roman" w:cs="Times New Roman"/>
          <w:sz w:val="24"/>
          <w:szCs w:val="24"/>
        </w:rPr>
        <w:lastRenderedPageBreak/>
        <w:t xml:space="preserve">de promoção da saúde (Prado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A melhoria da qualidade de vida passou a constituir um dos principais resultados esperados das políticas pú</w:t>
      </w:r>
      <w:r>
        <w:rPr>
          <w:rFonts w:ascii="Times New Roman" w:eastAsia="Times New Roman" w:hAnsi="Times New Roman" w:cs="Times New Roman"/>
          <w:sz w:val="24"/>
          <w:szCs w:val="24"/>
        </w:rPr>
        <w:t>blicas de saúde, refletindo uma concepção ampliada do processo saúde-doença (</w:t>
      </w:r>
      <w:proofErr w:type="spellStart"/>
      <w:r>
        <w:rPr>
          <w:rFonts w:ascii="Times New Roman" w:eastAsia="Times New Roman" w:hAnsi="Times New Roman" w:cs="Times New Roman"/>
          <w:sz w:val="24"/>
          <w:szCs w:val="24"/>
        </w:rPr>
        <w:t>Paschoalotto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2025). </w:t>
      </w:r>
    </w:p>
    <w:p w14:paraId="00000046"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processo, a instituição de ensino assume papel de destaque como o território adequado para a implementação de ações estruturadas de promoção da </w:t>
      </w:r>
      <w:r>
        <w:rPr>
          <w:rFonts w:ascii="Times New Roman" w:eastAsia="Times New Roman" w:hAnsi="Times New Roman" w:cs="Times New Roman"/>
          <w:sz w:val="24"/>
          <w:szCs w:val="24"/>
        </w:rPr>
        <w:t xml:space="preserve">saúde, viabilizando práticas preventivas e a disseminação de informações qualificadas aos estudantes (Schneider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Sob essa perspectiva, a escola consolida-se como um espaço privilegiado de convivência social e de intersetorialidade, onde é pos</w:t>
      </w:r>
      <w:r>
        <w:rPr>
          <w:rFonts w:ascii="Times New Roman" w:eastAsia="Times New Roman" w:hAnsi="Times New Roman" w:cs="Times New Roman"/>
          <w:sz w:val="24"/>
          <w:szCs w:val="24"/>
        </w:rPr>
        <w:t xml:space="preserve">sível articular de forma dialógica as ações educativas, o protagonismo comunitário e a formação cidadã voltada à qualidade de vida (Guimarães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2026). </w:t>
      </w:r>
    </w:p>
    <w:p w14:paraId="00000047" w14:textId="77777777" w:rsidR="00333B43" w:rsidRDefault="00333B43">
      <w:pPr>
        <w:spacing w:after="0" w:line="240" w:lineRule="auto"/>
        <w:ind w:firstLine="700"/>
        <w:jc w:val="both"/>
        <w:rPr>
          <w:rFonts w:ascii="Times New Roman" w:eastAsia="Times New Roman" w:hAnsi="Times New Roman" w:cs="Times New Roman"/>
          <w:sz w:val="24"/>
          <w:szCs w:val="24"/>
        </w:rPr>
      </w:pPr>
    </w:p>
    <w:p w14:paraId="00000048" w14:textId="77777777" w:rsidR="00333B43" w:rsidRDefault="00651A03">
      <w:pPr>
        <w:pStyle w:val="Ttulo1"/>
        <w:numPr>
          <w:ilvl w:val="0"/>
          <w:numId w:val="1"/>
        </w:numPr>
        <w:spacing w:line="240" w:lineRule="auto"/>
        <w:jc w:val="both"/>
        <w:rPr>
          <w:rFonts w:ascii="Times New Roman" w:eastAsia="Times New Roman" w:hAnsi="Times New Roman" w:cs="Times New Roman"/>
          <w:b/>
          <w:bCs/>
          <w:color w:val="000000"/>
          <w:sz w:val="24"/>
          <w:szCs w:val="24"/>
        </w:rPr>
      </w:pPr>
      <w:bookmarkStart w:id="4" w:name="_heading=h.57m0jyugjl0j" w:colFirst="0" w:colLast="0"/>
      <w:bookmarkEnd w:id="4"/>
      <w:r>
        <w:rPr>
          <w:rFonts w:ascii="Times New Roman" w:eastAsia="Times New Roman" w:hAnsi="Times New Roman" w:cs="Times New Roman"/>
          <w:b/>
          <w:bCs/>
          <w:color w:val="000000"/>
          <w:sz w:val="24"/>
          <w:szCs w:val="24"/>
        </w:rPr>
        <w:t>A INTERSETORIALIDADE ENTRE SAÚDE E EDUCAÇÃO NAS POLÍTICAS PÚBLICAS BRASILEIRAS</w:t>
      </w:r>
    </w:p>
    <w:p w14:paraId="00000049" w14:textId="77777777" w:rsidR="00333B43" w:rsidRDefault="00333B43">
      <w:pPr>
        <w:spacing w:line="240" w:lineRule="auto"/>
        <w:rPr>
          <w:rFonts w:ascii="Times New Roman" w:eastAsia="Times New Roman" w:hAnsi="Times New Roman" w:cs="Times New Roman"/>
          <w:sz w:val="24"/>
          <w:szCs w:val="24"/>
        </w:rPr>
      </w:pPr>
    </w:p>
    <w:p w14:paraId="0000004A"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ampliação do co</w:t>
      </w:r>
      <w:r>
        <w:rPr>
          <w:rFonts w:ascii="Times New Roman" w:eastAsia="Times New Roman" w:hAnsi="Times New Roman" w:cs="Times New Roman"/>
          <w:sz w:val="24"/>
          <w:szCs w:val="24"/>
        </w:rPr>
        <w:t>nceito de saúde e o reconhecimento dos determinantes sociais do processo saúde-doença produziram importantes desafios para a formulação e implementação das políticas públicas brasileiras. Problemas relacionados à saúde infantil e juvenil passaram a ser com</w:t>
      </w:r>
      <w:r>
        <w:rPr>
          <w:rFonts w:ascii="Times New Roman" w:eastAsia="Times New Roman" w:hAnsi="Times New Roman" w:cs="Times New Roman"/>
          <w:sz w:val="24"/>
          <w:szCs w:val="24"/>
        </w:rPr>
        <w:t xml:space="preserve">preendidos como fenômenos complexos, influenciados por fatores educacionais, econômicos, familiares, ambientais e culturais (Guimarães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2026). Nesse contexto, tornou-se evidente que respostas efetivas não poderiam ser construídas por meio de ações i</w:t>
      </w:r>
      <w:r>
        <w:rPr>
          <w:rFonts w:ascii="Times New Roman" w:eastAsia="Times New Roman" w:hAnsi="Times New Roman" w:cs="Times New Roman"/>
          <w:sz w:val="24"/>
          <w:szCs w:val="24"/>
        </w:rPr>
        <w:t xml:space="preserve">soladas de um único setor governamental, exigindo formas mais integradas de atuação estatal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w:t>
      </w:r>
    </w:p>
    <w:p w14:paraId="0000004B"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intersetorialidade emerge nesse cenário como uma estratégia de articulação entre diferentes áreas da administração pública para enfrenta</w:t>
      </w:r>
      <w:r>
        <w:rPr>
          <w:rFonts w:ascii="Times New Roman" w:eastAsia="Times New Roman" w:hAnsi="Times New Roman" w:cs="Times New Roman"/>
          <w:sz w:val="24"/>
          <w:szCs w:val="24"/>
        </w:rPr>
        <w:t xml:space="preserve">r problemas que transcendem os limites institucionais das políticas setoriais. Segundo Prado (2022), a intersetorialidade pode ser compreendida como um processo de integração de saberes, recursos e práticas organizacionais voltado à construção de soluções </w:t>
      </w:r>
      <w:r>
        <w:rPr>
          <w:rFonts w:ascii="Times New Roman" w:eastAsia="Times New Roman" w:hAnsi="Times New Roman" w:cs="Times New Roman"/>
          <w:sz w:val="24"/>
          <w:szCs w:val="24"/>
        </w:rPr>
        <w:t>compartilhadas para demandas sociais complexas. Mais do que uma simples cooperação entre órgãos governamentais, trata-se de uma forma de gestão que busca superar a fragmentação das políticas públicas e promover maior coordenação entre diferentes atores ins</w:t>
      </w:r>
      <w:r>
        <w:rPr>
          <w:rFonts w:ascii="Times New Roman" w:eastAsia="Times New Roman" w:hAnsi="Times New Roman" w:cs="Times New Roman"/>
          <w:sz w:val="24"/>
          <w:szCs w:val="24"/>
        </w:rPr>
        <w:t>titucionais.</w:t>
      </w:r>
    </w:p>
    <w:p w14:paraId="0000004C"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Historicamente, a organização do Estado brasileiro foi marcada por estruturas setoriais relativamente autônomas, com objetivos, recursos e mecanismos de gestão próprios. Embora esse modelo tenha contribuído para a especialização administrativa</w:t>
      </w:r>
      <w:r>
        <w:rPr>
          <w:rFonts w:ascii="Times New Roman" w:eastAsia="Times New Roman" w:hAnsi="Times New Roman" w:cs="Times New Roman"/>
          <w:sz w:val="24"/>
          <w:szCs w:val="24"/>
        </w:rPr>
        <w:t>, também produziu dificuldades na coordenação de políticas que dependem da atuação simultânea de diferentes setores (Moraes; Machado; Magalhães, 2021</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No campo da saúde, por exemplo, muitos problemas relacionados ao desenvolvimento infantil, à alimentaçã</w:t>
      </w:r>
      <w:r>
        <w:rPr>
          <w:rFonts w:ascii="Times New Roman" w:eastAsia="Times New Roman" w:hAnsi="Times New Roman" w:cs="Times New Roman"/>
          <w:sz w:val="24"/>
          <w:szCs w:val="24"/>
        </w:rPr>
        <w:t>o, à saúde mental, à prevenção de doenças e à promoção de hábitos saudáveis não podem ser adequadamente enfrentados sem a participação das instituições educacionais (</w:t>
      </w:r>
      <w:proofErr w:type="spellStart"/>
      <w:r>
        <w:rPr>
          <w:rFonts w:ascii="Times New Roman" w:eastAsia="Times New Roman" w:hAnsi="Times New Roman" w:cs="Times New Roman"/>
          <w:sz w:val="24"/>
          <w:szCs w:val="24"/>
        </w:rPr>
        <w:t>Munslinger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Balestrin</w:t>
      </w:r>
      <w:proofErr w:type="spellEnd"/>
      <w:r>
        <w:rPr>
          <w:rFonts w:ascii="Times New Roman" w:eastAsia="Times New Roman" w:hAnsi="Times New Roman" w:cs="Times New Roman"/>
          <w:sz w:val="24"/>
          <w:szCs w:val="24"/>
        </w:rPr>
        <w:t xml:space="preserve">, 2024). </w:t>
      </w:r>
    </w:p>
    <w:p w14:paraId="0000004D"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Estudos sobre ações voltadas à população adolescente já apo</w:t>
      </w:r>
      <w:r>
        <w:rPr>
          <w:rFonts w:ascii="Times New Roman" w:eastAsia="Times New Roman" w:hAnsi="Times New Roman" w:cs="Times New Roman"/>
          <w:sz w:val="24"/>
          <w:szCs w:val="24"/>
        </w:rPr>
        <w:t xml:space="preserve">ntavam, antes mesmo da consolidação do PSE, a necessidade de maior integração entre escola, atenção básica e comunidade como estratégia para fortalecer práticas preventivas e de promoção da saúde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Ainda segundo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w:t>
      </w:r>
      <w:r>
        <w:rPr>
          <w:rFonts w:ascii="Times New Roman" w:eastAsia="Times New Roman" w:hAnsi="Times New Roman" w:cs="Times New Roman"/>
          <w:sz w:val="24"/>
          <w:szCs w:val="24"/>
        </w:rPr>
        <w:t>022) campanhas de vacinação em escolas, programas de alimentação escolar, ações de educação sanitária e atividades de prevenção desenvolvidas por equipes da atenção básica constituíram experiências importantes de cooperação entre as duas áreas. No entanto,</w:t>
      </w:r>
      <w:r>
        <w:rPr>
          <w:rFonts w:ascii="Times New Roman" w:eastAsia="Times New Roman" w:hAnsi="Times New Roman" w:cs="Times New Roman"/>
          <w:sz w:val="24"/>
          <w:szCs w:val="24"/>
        </w:rPr>
        <w:t xml:space="preserve"> essas iniciativas frequentemente apresentavam caráter pontual, limitada coordenação institucional e reduzida integração entre os diferentes níveis de governo.</w:t>
      </w:r>
    </w:p>
    <w:p w14:paraId="0000004E"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 a expansão da Atenção Primária à Saúde e da Estratégia Saúde da Família a presença dos servi</w:t>
      </w:r>
      <w:r>
        <w:rPr>
          <w:rFonts w:ascii="Times New Roman" w:eastAsia="Times New Roman" w:hAnsi="Times New Roman" w:cs="Times New Roman"/>
          <w:sz w:val="24"/>
          <w:szCs w:val="24"/>
        </w:rPr>
        <w:t xml:space="preserve">ços de saúde nos territórios foi fortalecida e ampliou as possibilidades de interação com as escolas e com outras organizações comunitárias. Conforme destacam Guimarães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(2026), a organização das redes de atenção pressupõe a coordenação entre difere</w:t>
      </w:r>
      <w:r>
        <w:rPr>
          <w:rFonts w:ascii="Times New Roman" w:eastAsia="Times New Roman" w:hAnsi="Times New Roman" w:cs="Times New Roman"/>
          <w:sz w:val="24"/>
          <w:szCs w:val="24"/>
        </w:rPr>
        <w:t>ntes serviços e atores institucionais, favorecendo abordagens integradas voltadas às necessidades da população.</w:t>
      </w:r>
    </w:p>
    <w:p w14:paraId="0000004F" w14:textId="77777777" w:rsidR="00333B43" w:rsidRDefault="00333B43">
      <w:pPr>
        <w:spacing w:after="0" w:line="240" w:lineRule="auto"/>
        <w:ind w:firstLine="700"/>
        <w:jc w:val="both"/>
        <w:rPr>
          <w:rFonts w:ascii="Times New Roman" w:eastAsia="Times New Roman" w:hAnsi="Times New Roman" w:cs="Times New Roman"/>
          <w:sz w:val="24"/>
          <w:szCs w:val="24"/>
        </w:rPr>
      </w:pPr>
    </w:p>
    <w:p w14:paraId="00000050" w14:textId="77777777" w:rsidR="00333B43" w:rsidRDefault="00651A03">
      <w:pPr>
        <w:pStyle w:val="Ttulo1"/>
        <w:numPr>
          <w:ilvl w:val="0"/>
          <w:numId w:val="1"/>
        </w:numPr>
        <w:spacing w:line="240" w:lineRule="auto"/>
        <w:jc w:val="both"/>
        <w:rPr>
          <w:rFonts w:ascii="Times New Roman" w:eastAsia="Times New Roman" w:hAnsi="Times New Roman" w:cs="Times New Roman"/>
          <w:b/>
          <w:bCs/>
          <w:color w:val="000000"/>
          <w:sz w:val="24"/>
          <w:szCs w:val="24"/>
        </w:rPr>
      </w:pPr>
      <w:bookmarkStart w:id="5" w:name="_heading=h.8nzonrtxa6to" w:colFirst="0" w:colLast="0"/>
      <w:bookmarkEnd w:id="5"/>
      <w:r>
        <w:rPr>
          <w:rFonts w:ascii="Times New Roman" w:eastAsia="Times New Roman" w:hAnsi="Times New Roman" w:cs="Times New Roman"/>
          <w:b/>
          <w:bCs/>
          <w:color w:val="000000"/>
          <w:sz w:val="24"/>
          <w:szCs w:val="24"/>
        </w:rPr>
        <w:t>O PROGRAMA SAÚDE NA ESCOLA (PSE) COMO MARCO DA INSTITUCIONALIZAÇÃO DA SAÚDE ESCOLAR</w:t>
      </w:r>
    </w:p>
    <w:p w14:paraId="00000051" w14:textId="77777777" w:rsidR="00333B43" w:rsidRDefault="00333B43">
      <w:pPr>
        <w:spacing w:after="0" w:line="240" w:lineRule="auto"/>
        <w:jc w:val="both"/>
        <w:rPr>
          <w:rFonts w:ascii="Times New Roman" w:eastAsia="Times New Roman" w:hAnsi="Times New Roman" w:cs="Times New Roman"/>
          <w:sz w:val="24"/>
          <w:szCs w:val="24"/>
        </w:rPr>
      </w:pPr>
      <w:bookmarkStart w:id="6" w:name="_heading=h.b40qokh0s41z" w:colFirst="0" w:colLast="0"/>
      <w:bookmarkEnd w:id="6"/>
    </w:p>
    <w:p w14:paraId="00000052"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Instituído pelo Decreto nº 6.286, de 5 de dezembro de 2007</w:t>
      </w:r>
      <w:r>
        <w:rPr>
          <w:rFonts w:ascii="Times New Roman" w:eastAsia="Times New Roman" w:hAnsi="Times New Roman" w:cs="Times New Roman"/>
          <w:sz w:val="24"/>
          <w:szCs w:val="24"/>
        </w:rPr>
        <w:t xml:space="preserve">, o PSE resultou da articulação entre os Ministérios da Saúde e da Educação e representou a consolidação de uma estratégia nacional voltada à promoção da saúde no ambiente escolar. Sua criação refletiu o reconhecimento de que o desenvolvimento integral de </w:t>
      </w:r>
      <w:r>
        <w:rPr>
          <w:rFonts w:ascii="Times New Roman" w:eastAsia="Times New Roman" w:hAnsi="Times New Roman" w:cs="Times New Roman"/>
          <w:sz w:val="24"/>
          <w:szCs w:val="24"/>
        </w:rPr>
        <w:t>crianças e adolescentes depende da integração entre ações educacionais e políticas de saúde capazes de atuar sobre os diversos determinantes sociais que influenciam a qualidade de vida da população escolar.</w:t>
      </w:r>
    </w:p>
    <w:p w14:paraId="00000053"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PSE foi concebido como uma política pública int</w:t>
      </w:r>
      <w:r>
        <w:rPr>
          <w:rFonts w:ascii="Times New Roman" w:eastAsia="Times New Roman" w:hAnsi="Times New Roman" w:cs="Times New Roman"/>
          <w:sz w:val="24"/>
          <w:szCs w:val="24"/>
        </w:rPr>
        <w:t xml:space="preserve">ersetorial destinada a promover a formação integral dos estudantes da rede pública de ensino por meio de ações de prevenção, promoção e atenção à saúde. Entre seus objetivos estão a ampliação das ações de promoção da saúde, o fortalecimento da articulação </w:t>
      </w:r>
      <w:r>
        <w:rPr>
          <w:rFonts w:ascii="Times New Roman" w:eastAsia="Times New Roman" w:hAnsi="Times New Roman" w:cs="Times New Roman"/>
          <w:sz w:val="24"/>
          <w:szCs w:val="24"/>
        </w:rPr>
        <w:t>entre escolas e serviços de saúde, a prevenção de agravos e a melhoria das condições de desenvolvimento e aprendizagem dos estudantes (BRASIL, 2007).</w:t>
      </w:r>
    </w:p>
    <w:p w14:paraId="00000054"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Estudos sobre a implementação do Programa Saúde na Escola evidenciam que sua principal contribuição reside</w:t>
      </w:r>
      <w:r>
        <w:rPr>
          <w:rFonts w:ascii="Times New Roman" w:eastAsia="Times New Roman" w:hAnsi="Times New Roman" w:cs="Times New Roman"/>
          <w:sz w:val="24"/>
          <w:szCs w:val="24"/>
        </w:rPr>
        <w:t xml:space="preserve"> na construção de estratégias de cooperação entre os setores da saúde e da educação, favorecendo o desenvolvimento de ações integradas de promoção da saúde nos territórios. Nesse sentido, o programa fortalece a intersetorialidade como princípio orientador </w:t>
      </w:r>
      <w:r>
        <w:rPr>
          <w:rFonts w:ascii="Times New Roman" w:eastAsia="Times New Roman" w:hAnsi="Times New Roman" w:cs="Times New Roman"/>
          <w:sz w:val="24"/>
          <w:szCs w:val="24"/>
        </w:rPr>
        <w:t xml:space="preserve">das políticas públicas voltadas ao desenvolvimento integral de crianças e adolescentes (Pinto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w:t>
      </w:r>
    </w:p>
    <w:p w14:paraId="00000055"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ponto de vista institucional, o programa representa uma inovação na governança das políticas públicas brasileiras ao estabelecer mecanismos perm</w:t>
      </w:r>
      <w:r>
        <w:rPr>
          <w:rFonts w:ascii="Times New Roman" w:eastAsia="Times New Roman" w:hAnsi="Times New Roman" w:cs="Times New Roman"/>
          <w:sz w:val="24"/>
          <w:szCs w:val="24"/>
        </w:rPr>
        <w:t>anentes de cooperação entre os sistemas de saúde e educação. Uma análise dos 15 anos de implementação do PSE demonstrou que o programa avançou tanto impactando expressivamente no percentual de municípios que aderiram, quanto também na sua estrutura e forma</w:t>
      </w:r>
      <w:r>
        <w:rPr>
          <w:rFonts w:ascii="Times New Roman" w:eastAsia="Times New Roman" w:hAnsi="Times New Roman" w:cs="Times New Roman"/>
          <w:sz w:val="24"/>
          <w:szCs w:val="24"/>
        </w:rPr>
        <w:t>tação, tendo o território como principal lócus de desenvolvimento e a articulação entre saúde e educação como a estratégia propulsora de arranjos locais; ademais, o modelo de gestão intersetorial do PSE auxilia a articulação das redes de saúde e de educaçã</w:t>
      </w:r>
      <w:r>
        <w:rPr>
          <w:rFonts w:ascii="Times New Roman" w:eastAsia="Times New Roman" w:hAnsi="Times New Roman" w:cs="Times New Roman"/>
          <w:sz w:val="24"/>
          <w:szCs w:val="24"/>
        </w:rPr>
        <w:t xml:space="preserve">o de forma </w:t>
      </w:r>
      <w:proofErr w:type="spellStart"/>
      <w:r>
        <w:rPr>
          <w:rFonts w:ascii="Times New Roman" w:eastAsia="Times New Roman" w:hAnsi="Times New Roman" w:cs="Times New Roman"/>
          <w:sz w:val="24"/>
          <w:szCs w:val="24"/>
        </w:rPr>
        <w:t>interfederativa</w:t>
      </w:r>
      <w:proofErr w:type="spellEnd"/>
      <w:r>
        <w:rPr>
          <w:rFonts w:ascii="Times New Roman" w:eastAsia="Times New Roman" w:hAnsi="Times New Roman" w:cs="Times New Roman"/>
          <w:sz w:val="24"/>
          <w:szCs w:val="24"/>
        </w:rPr>
        <w:t xml:space="preserve">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w:t>
      </w:r>
    </w:p>
    <w:p w14:paraId="00000056"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Atenção Primária à Saúde ocupa papel central nesse arranjo institucional. Um estudo de caso realizado com profissionais da saúde e da educação sobre as ações do PSE em território periférico demonstrou</w:t>
      </w:r>
      <w:r>
        <w:rPr>
          <w:rFonts w:ascii="Times New Roman" w:eastAsia="Times New Roman" w:hAnsi="Times New Roman" w:cs="Times New Roman"/>
          <w:sz w:val="24"/>
          <w:szCs w:val="24"/>
        </w:rPr>
        <w:t xml:space="preserve"> que as iniciativas do programa se concentram em reuniões de </w:t>
      </w:r>
      <w:proofErr w:type="spellStart"/>
      <w:r>
        <w:rPr>
          <w:rFonts w:ascii="Times New Roman" w:eastAsia="Times New Roman" w:hAnsi="Times New Roman" w:cs="Times New Roman"/>
          <w:sz w:val="24"/>
          <w:szCs w:val="24"/>
        </w:rPr>
        <w:t>matriciamento</w:t>
      </w:r>
      <w:proofErr w:type="spellEnd"/>
      <w:r>
        <w:rPr>
          <w:rFonts w:ascii="Times New Roman" w:eastAsia="Times New Roman" w:hAnsi="Times New Roman" w:cs="Times New Roman"/>
          <w:sz w:val="24"/>
          <w:szCs w:val="24"/>
        </w:rPr>
        <w:t>, encaminhamentos, verificação vacinal, saúde bucal e saúde ocular, evidenciando a centralidade das equipes de atenção primária na operacionalização das ações intersetoriais no espaç</w:t>
      </w:r>
      <w:r>
        <w:rPr>
          <w:rFonts w:ascii="Times New Roman" w:eastAsia="Times New Roman" w:hAnsi="Times New Roman" w:cs="Times New Roman"/>
          <w:sz w:val="24"/>
          <w:szCs w:val="24"/>
        </w:rPr>
        <w:t xml:space="preserve">o escolar (Pinto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A escola, por sua vez, passa a assumir função estratégica na promoção da saúde e na formação de hábitos que podem influenciar positivamente as trajetórias de vida dos estudantes (Pereira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w:t>
      </w:r>
    </w:p>
    <w:p w14:paraId="00000057"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longo de sua imple</w:t>
      </w:r>
      <w:r>
        <w:rPr>
          <w:rFonts w:ascii="Times New Roman" w:eastAsia="Times New Roman" w:hAnsi="Times New Roman" w:cs="Times New Roman"/>
          <w:sz w:val="24"/>
          <w:szCs w:val="24"/>
        </w:rPr>
        <w:t xml:space="preserve">mentação, o PSE passou a incorporar diferentes eixos temáticos, incluindo alimentação saudável, práticas corporais e atividade física, saúde sexual e reprodutiva, prevenção do uso de álcool e outras drogas, vacinação, prevenção </w:t>
      </w:r>
      <w:r>
        <w:rPr>
          <w:rFonts w:ascii="Times New Roman" w:eastAsia="Times New Roman" w:hAnsi="Times New Roman" w:cs="Times New Roman"/>
          <w:sz w:val="24"/>
          <w:szCs w:val="24"/>
        </w:rPr>
        <w:lastRenderedPageBreak/>
        <w:t>de violências, educação em s</w:t>
      </w:r>
      <w:r>
        <w:rPr>
          <w:rFonts w:ascii="Times New Roman" w:eastAsia="Times New Roman" w:hAnsi="Times New Roman" w:cs="Times New Roman"/>
          <w:sz w:val="24"/>
          <w:szCs w:val="24"/>
        </w:rPr>
        <w:t>aúde e saúde mental. Este último eixo ganhou relevância diante do agravamento das demandas psicossociais observadas entre crianças e adolescentes nas últimas décadas, intensificadas pelo contexto da pandemia de Covid-19. Um estudo transversal aplicado junt</w:t>
      </w:r>
      <w:r>
        <w:rPr>
          <w:rFonts w:ascii="Times New Roman" w:eastAsia="Times New Roman" w:hAnsi="Times New Roman" w:cs="Times New Roman"/>
          <w:sz w:val="24"/>
          <w:szCs w:val="24"/>
        </w:rPr>
        <w:t>o a estudantes do 9º ano do Ensino Fundamental e do Ensino Médio de escolas públicas de São Paulo e Guarulhos analisou os efeitos da suspensão das aulas presenciais sobre a saúde mental dos estudantes, evidenciando impactos significativos no período pandêm</w:t>
      </w:r>
      <w:r>
        <w:rPr>
          <w:rFonts w:ascii="Times New Roman" w:eastAsia="Times New Roman" w:hAnsi="Times New Roman" w:cs="Times New Roman"/>
          <w:sz w:val="24"/>
          <w:szCs w:val="24"/>
        </w:rPr>
        <w:t>ico (</w:t>
      </w:r>
      <w:proofErr w:type="spellStart"/>
      <w:r>
        <w:rPr>
          <w:rFonts w:ascii="Times New Roman" w:eastAsia="Times New Roman" w:hAnsi="Times New Roman" w:cs="Times New Roman"/>
          <w:sz w:val="24"/>
          <w:szCs w:val="24"/>
        </w:rPr>
        <w:t>Vazquez</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w:t>
      </w:r>
    </w:p>
    <w:p w14:paraId="00000058"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dos avanços observados desde sua criação, o programa ainda enfrenta desafios relacionados à coordenação federativa, às desigualdades territoriais de implementação, à disponibilidade de recursos e à sustentabilidade das ações intersetoriais. A alta d</w:t>
      </w:r>
      <w:r>
        <w:rPr>
          <w:rFonts w:ascii="Times New Roman" w:eastAsia="Times New Roman" w:hAnsi="Times New Roman" w:cs="Times New Roman"/>
          <w:sz w:val="24"/>
          <w:szCs w:val="24"/>
        </w:rPr>
        <w:t>emanda de trabalho gerada pelo programa foi relatada por profissionais da saúde associada à falta de recursos para as ações pactuadas, o que suscita reflexões sobre as diretrizes de descentralização, respeito à autonomia federativa, territorialidade, inter</w:t>
      </w:r>
      <w:r>
        <w:rPr>
          <w:rFonts w:ascii="Times New Roman" w:eastAsia="Times New Roman" w:hAnsi="Times New Roman" w:cs="Times New Roman"/>
          <w:sz w:val="24"/>
          <w:szCs w:val="24"/>
        </w:rPr>
        <w:t xml:space="preserve">disciplinaridade, intersetorialidade e integralidade que orientam o PSE (Silva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2021). Ainda assim, o Programa Saúde na Escola representa o principal marco da institucionalização da saúde escolar no Brasil, consolidando uma trajetória iniciada com a</w:t>
      </w:r>
      <w:r>
        <w:rPr>
          <w:rFonts w:ascii="Times New Roman" w:eastAsia="Times New Roman" w:hAnsi="Times New Roman" w:cs="Times New Roman"/>
          <w:sz w:val="24"/>
          <w:szCs w:val="24"/>
        </w:rPr>
        <w:t xml:space="preserve"> Constituição Federal de 1988 e orientada pelos princípios da promoção da saúde, da integralidade e da governança intersetorial. </w:t>
      </w:r>
    </w:p>
    <w:p w14:paraId="00000059" w14:textId="77777777" w:rsidR="00333B43" w:rsidRDefault="00333B43">
      <w:pPr>
        <w:spacing w:after="0" w:line="240" w:lineRule="auto"/>
        <w:ind w:firstLine="700"/>
        <w:jc w:val="both"/>
        <w:rPr>
          <w:rFonts w:ascii="Times New Roman" w:eastAsia="Times New Roman" w:hAnsi="Times New Roman" w:cs="Times New Roman"/>
          <w:sz w:val="24"/>
          <w:szCs w:val="24"/>
        </w:rPr>
      </w:pPr>
    </w:p>
    <w:p w14:paraId="0000005A" w14:textId="77777777" w:rsidR="00333B43" w:rsidRDefault="00651A03">
      <w:pPr>
        <w:pStyle w:val="Ttulo1"/>
        <w:numPr>
          <w:ilvl w:val="0"/>
          <w:numId w:val="1"/>
        </w:num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DESAFIOS CONTEMPORÂNEOS DA PROMOÇÃO DA SAÚDE NO AMBIENTE ESCOLAR</w:t>
      </w:r>
    </w:p>
    <w:p w14:paraId="0000005B" w14:textId="77777777" w:rsidR="00333B43" w:rsidRDefault="00333B43">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5C"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institucionalização do Programa Saúde na Escola representou um avanço significativo na consolidação da promoção da saúde como componente das políticas educacionais e sanitárias brasileiras. Entretanto, a efetividade das ações desenvolvidas no âmbito da s</w:t>
      </w:r>
      <w:r>
        <w:rPr>
          <w:rFonts w:ascii="Times New Roman" w:eastAsia="Times New Roman" w:hAnsi="Times New Roman" w:cs="Times New Roman"/>
          <w:sz w:val="24"/>
          <w:szCs w:val="24"/>
        </w:rPr>
        <w:t>aúde escolar continua condicionada a desafios estruturais relacionados à implementação, coordenação e sustentabilidade das políticas públicas. A análise da articulação entre educação e saúde no Brasil revela que, embora constitua experiência relevante, a i</w:t>
      </w:r>
      <w:r>
        <w:rPr>
          <w:rFonts w:ascii="Times New Roman" w:eastAsia="Times New Roman" w:hAnsi="Times New Roman" w:cs="Times New Roman"/>
          <w:sz w:val="24"/>
          <w:szCs w:val="24"/>
        </w:rPr>
        <w:t>ntersetorialidade ainda é atravessada por obstáculos como fragmentação administrativa, baixa institucionalização, dificuldades de coordenação federativa, assimetrias de poder entre setores e insuficiência de avaliação integrada, evidenciando que sua consol</w:t>
      </w:r>
      <w:r>
        <w:rPr>
          <w:rFonts w:ascii="Times New Roman" w:eastAsia="Times New Roman" w:hAnsi="Times New Roman" w:cs="Times New Roman"/>
          <w:sz w:val="24"/>
          <w:szCs w:val="24"/>
        </w:rPr>
        <w:t xml:space="preserve">idação depende de capacidade estatal, governança colaborativa, financiamento e mecanismos de avaliação (Almeida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2026). </w:t>
      </w:r>
    </w:p>
    <w:p w14:paraId="0000005D"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Tais desafios refletem a complexidade da governança federativa brasileira e evidenciam a necessidade de fortalecimento das capac</w:t>
      </w:r>
      <w:r>
        <w:rPr>
          <w:rFonts w:ascii="Times New Roman" w:eastAsia="Times New Roman" w:hAnsi="Times New Roman" w:cs="Times New Roman"/>
          <w:sz w:val="24"/>
          <w:szCs w:val="24"/>
        </w:rPr>
        <w:t>idades estatais responsáveis pela articulação entre os setores da saúde e da educação. Nesse sentido, estudos sobre as políticas públicas intersetoriais voltadas à saúde dos estudantes da educação básica apontam que os desafios de implementação decorrem, e</w:t>
      </w:r>
      <w:r>
        <w:rPr>
          <w:rFonts w:ascii="Times New Roman" w:eastAsia="Times New Roman" w:hAnsi="Times New Roman" w:cs="Times New Roman"/>
          <w:sz w:val="24"/>
          <w:szCs w:val="24"/>
        </w:rPr>
        <w:t xml:space="preserve">m grande parte, das tensões inerentes à divisão de competências entre os entes federados e à dificuldade de construir práticas colaborativas estáveis entre os setores envolvidos (Santos; </w:t>
      </w:r>
      <w:proofErr w:type="spellStart"/>
      <w:r>
        <w:rPr>
          <w:rFonts w:ascii="Times New Roman" w:eastAsia="Times New Roman" w:hAnsi="Times New Roman" w:cs="Times New Roman"/>
          <w:sz w:val="24"/>
          <w:szCs w:val="24"/>
        </w:rPr>
        <w:t>Roggero</w:t>
      </w:r>
      <w:proofErr w:type="spellEnd"/>
      <w:r>
        <w:rPr>
          <w:rFonts w:ascii="Times New Roman" w:eastAsia="Times New Roman" w:hAnsi="Times New Roman" w:cs="Times New Roman"/>
          <w:sz w:val="24"/>
          <w:szCs w:val="24"/>
        </w:rPr>
        <w:t xml:space="preserve">, 2024) </w:t>
      </w:r>
    </w:p>
    <w:p w14:paraId="0000005E"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dos principais obstáculos refere-se às desigualdad</w:t>
      </w:r>
      <w:r>
        <w:rPr>
          <w:rFonts w:ascii="Times New Roman" w:eastAsia="Times New Roman" w:hAnsi="Times New Roman" w:cs="Times New Roman"/>
          <w:sz w:val="24"/>
          <w:szCs w:val="24"/>
        </w:rPr>
        <w:t>es regionais que caracterizam a oferta de serviços públicos no país. A heterogeneidade das capacidades administrativas e financeiras dos estados e municípios influencia diretamente a implementação das ações previstas pelo Programa Saúde na Escola. Pesquisa</w:t>
      </w:r>
      <w:r>
        <w:rPr>
          <w:rFonts w:ascii="Times New Roman" w:eastAsia="Times New Roman" w:hAnsi="Times New Roman" w:cs="Times New Roman"/>
          <w:sz w:val="24"/>
          <w:szCs w:val="24"/>
        </w:rPr>
        <w:t xml:space="preserve"> evidenciou que, embora a Estratégia Saúde da Família tenha experimentado expressiva expansão de cobertura na última década, existem importantes diferenças na cobertura, no acesso e na oferta de cuidados nas unidades básicas de saúde, em parte em função de</w:t>
      </w:r>
      <w:r>
        <w:rPr>
          <w:rFonts w:ascii="Times New Roman" w:eastAsia="Times New Roman" w:hAnsi="Times New Roman" w:cs="Times New Roman"/>
          <w:sz w:val="24"/>
          <w:szCs w:val="24"/>
        </w:rPr>
        <w:t xml:space="preserve"> mecanismos de gestão e das desigualdades sociais do país, com repercussões relevantes para a adesão e a implantação do PSE; além disso, a complexidade do modelo intersetorial e </w:t>
      </w:r>
      <w:r>
        <w:rPr>
          <w:rFonts w:ascii="Times New Roman" w:eastAsia="Times New Roman" w:hAnsi="Times New Roman" w:cs="Times New Roman"/>
          <w:sz w:val="24"/>
          <w:szCs w:val="24"/>
        </w:rPr>
        <w:lastRenderedPageBreak/>
        <w:t>multidisciplinar para construir uma escola promotora de saúde dificulta o dese</w:t>
      </w:r>
      <w:r>
        <w:rPr>
          <w:rFonts w:ascii="Times New Roman" w:eastAsia="Times New Roman" w:hAnsi="Times New Roman" w:cs="Times New Roman"/>
          <w:sz w:val="24"/>
          <w:szCs w:val="24"/>
        </w:rPr>
        <w:t xml:space="preserve">nvolvimento do programa nos municípios (Rumor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A análise dos 15 anos de implementação do PSE demonstrou que, desde 2013, o programa se capilarizou ao permitir que todos os municípios realizassem a adesão, fato que impactou expressivamente o p</w:t>
      </w:r>
      <w:r>
        <w:rPr>
          <w:rFonts w:ascii="Times New Roman" w:eastAsia="Times New Roman" w:hAnsi="Times New Roman" w:cs="Times New Roman"/>
          <w:sz w:val="24"/>
          <w:szCs w:val="24"/>
        </w:rPr>
        <w:t xml:space="preserve">ercentual de municípios participantes, chegando a 97,3% do território aderido no biênio 2021/2022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Ainda assim, a expansão quantitativa da adesão não elimina as assimetrias qualitativas entre territórios, dado que a oferta de ações</w:t>
      </w:r>
      <w:r>
        <w:rPr>
          <w:rFonts w:ascii="Times New Roman" w:eastAsia="Times New Roman" w:hAnsi="Times New Roman" w:cs="Times New Roman"/>
          <w:sz w:val="24"/>
          <w:szCs w:val="24"/>
        </w:rPr>
        <w:t xml:space="preserve"> permanece heterogênea entre regiões. </w:t>
      </w:r>
    </w:p>
    <w:p w14:paraId="0000005F"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desafio relevante diz respeito ao financiamento das políticas de promoção da saúde escolar. A sustentabilidade das ações intersetoriais depende da disponibilidade de recursos financeiros e da existência de mecan</w:t>
      </w:r>
      <w:r>
        <w:rPr>
          <w:rFonts w:ascii="Times New Roman" w:eastAsia="Times New Roman" w:hAnsi="Times New Roman" w:cs="Times New Roman"/>
          <w:sz w:val="24"/>
          <w:szCs w:val="24"/>
        </w:rPr>
        <w:t xml:space="preserve">ismos de cooperação entre diferentes esferas governamentais. Pesquisa qualitativa realizada com 20 profissionais da área da saúde em quatro municípios da Região da Grande Florianópolis identificou que os limites da articulação intersetorial do PSE incluem </w:t>
      </w:r>
      <w:r>
        <w:rPr>
          <w:rFonts w:ascii="Times New Roman" w:eastAsia="Times New Roman" w:hAnsi="Times New Roman" w:cs="Times New Roman"/>
          <w:sz w:val="24"/>
          <w:szCs w:val="24"/>
        </w:rPr>
        <w:t xml:space="preserve">a cobertura parcial da rede escolar, o desconhecimento sobre o programa, a sobrecarga de atividades, os impactos causados pela pandemia da Covid-19 e a falta de recursos materiais e humanos (Rumor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Em contextos de restrição orçamentária, inic</w:t>
      </w:r>
      <w:r>
        <w:rPr>
          <w:rFonts w:ascii="Times New Roman" w:eastAsia="Times New Roman" w:hAnsi="Times New Roman" w:cs="Times New Roman"/>
          <w:sz w:val="24"/>
          <w:szCs w:val="24"/>
        </w:rPr>
        <w:t xml:space="preserve">iativas preventivas frequentemente competem com demandas assistenciais consideradas mais urgentes, o que pode comprometer a continuidade das ações de promoção da saúde e reduzir sua capacidade de produzir resultados de longo prazo. </w:t>
      </w:r>
    </w:p>
    <w:p w14:paraId="00000060"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efetividade do PSE ta</w:t>
      </w:r>
      <w:r>
        <w:rPr>
          <w:rFonts w:ascii="Times New Roman" w:eastAsia="Times New Roman" w:hAnsi="Times New Roman" w:cs="Times New Roman"/>
          <w:sz w:val="24"/>
          <w:szCs w:val="24"/>
        </w:rPr>
        <w:t>mbém depende da qualidade do trabalho interdisciplinar entre profissionais da saúde e da educação. Estudo exploratório qualitativo realizado com 26 profissionais da saúde e da educação participantes do PSE evidenciou que, embora os participantes reconheçam</w:t>
      </w:r>
      <w:r>
        <w:rPr>
          <w:rFonts w:ascii="Times New Roman" w:eastAsia="Times New Roman" w:hAnsi="Times New Roman" w:cs="Times New Roman"/>
          <w:sz w:val="24"/>
          <w:szCs w:val="24"/>
        </w:rPr>
        <w:t xml:space="preserve"> que as ações de saúde nas escolas devem ser realizadas de forma contínua e interdisciplinar, ainda persiste uma atitude passiva da escola em relação às iniciativas provenientes das unidades de saúde, revelando a necessidade de construção de planejamento c</w:t>
      </w:r>
      <w:r>
        <w:rPr>
          <w:rFonts w:ascii="Times New Roman" w:eastAsia="Times New Roman" w:hAnsi="Times New Roman" w:cs="Times New Roman"/>
          <w:sz w:val="24"/>
          <w:szCs w:val="24"/>
        </w:rPr>
        <w:t>onjunto que favoreça o surgimento de ações realmente interdisciplinares (Schneider; Magalhães; Almeida, 2022). Esse achado reforça a importância da educação permanente como estratégia de sensibilização e qualificação dos profissionais para a prática inters</w:t>
      </w:r>
      <w:r>
        <w:rPr>
          <w:rFonts w:ascii="Times New Roman" w:eastAsia="Times New Roman" w:hAnsi="Times New Roman" w:cs="Times New Roman"/>
          <w:sz w:val="24"/>
          <w:szCs w:val="24"/>
        </w:rPr>
        <w:t xml:space="preserve">etorial. </w:t>
      </w:r>
    </w:p>
    <w:p w14:paraId="00000061"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os desafios contemporâneos mais relevantes destaca-se a crescente centralidade da saúde mental nas agendas da saúde e da educação. Nas últimas décadas, organismos internacionais e pesquisadores têm apontado o aumento dos problemas relaciona</w:t>
      </w:r>
      <w:r>
        <w:rPr>
          <w:rFonts w:ascii="Times New Roman" w:eastAsia="Times New Roman" w:hAnsi="Times New Roman" w:cs="Times New Roman"/>
          <w:sz w:val="24"/>
          <w:szCs w:val="24"/>
        </w:rPr>
        <w:t>dos ao sofrimento psíquico, à ansiedade, à depressão, à automutilação, ao bullying e a outras formas de vulnerabilidade emocional que afetam crianças e adolescentes em idade escolar. Estudo transversal, aplicado entre outubro e dezembro de 2020, com estuda</w:t>
      </w:r>
      <w:r>
        <w:rPr>
          <w:rFonts w:ascii="Times New Roman" w:eastAsia="Times New Roman" w:hAnsi="Times New Roman" w:cs="Times New Roman"/>
          <w:sz w:val="24"/>
          <w:szCs w:val="24"/>
        </w:rPr>
        <w:t xml:space="preserve">ntes entre 13 e 20 anos de 21 escolas públicas estaduais e municipais nas periferias de São Paulo e Guarulhos, analisou os efeitos da pandemia de Covid-19 sobre a saúde mental dos estudantes durante a suspensão das aulas presenciais, evidenciando impactos </w:t>
      </w:r>
      <w:r>
        <w:rPr>
          <w:rFonts w:ascii="Times New Roman" w:eastAsia="Times New Roman" w:hAnsi="Times New Roman" w:cs="Times New Roman"/>
          <w:sz w:val="24"/>
          <w:szCs w:val="24"/>
        </w:rPr>
        <w:t>expressivos no período (</w:t>
      </w:r>
      <w:proofErr w:type="spellStart"/>
      <w:r>
        <w:rPr>
          <w:rFonts w:ascii="Times New Roman" w:eastAsia="Times New Roman" w:hAnsi="Times New Roman" w:cs="Times New Roman"/>
          <w:sz w:val="24"/>
          <w:szCs w:val="24"/>
        </w:rPr>
        <w:t>Vazquez</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Conforme evidenciado em pesquisa realizada com estudantes de escolas públicas, a pandemia da Covid-19 produziu impactos significativos sobre a saúde mental dos adolescentes, agravando situações de sofrimento p</w:t>
      </w:r>
      <w:r>
        <w:rPr>
          <w:rFonts w:ascii="Times New Roman" w:eastAsia="Times New Roman" w:hAnsi="Times New Roman" w:cs="Times New Roman"/>
          <w:sz w:val="24"/>
          <w:szCs w:val="24"/>
        </w:rPr>
        <w:t>sicológico e vulnerabilidade emocional (</w:t>
      </w:r>
      <w:proofErr w:type="spellStart"/>
      <w:r>
        <w:rPr>
          <w:rFonts w:ascii="Times New Roman" w:eastAsia="Times New Roman" w:hAnsi="Times New Roman" w:cs="Times New Roman"/>
          <w:sz w:val="24"/>
          <w:szCs w:val="24"/>
        </w:rPr>
        <w:t>Vazquez</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Esse cenário tem ampliado a pressão sobre os sistemas educacionais e de saúde para desenvolver respostas integradas capazes de promover proteção, acolhimento e prevenção em diferentes contextos</w:t>
      </w:r>
      <w:r>
        <w:rPr>
          <w:rFonts w:ascii="Times New Roman" w:eastAsia="Times New Roman" w:hAnsi="Times New Roman" w:cs="Times New Roman"/>
          <w:sz w:val="24"/>
          <w:szCs w:val="24"/>
        </w:rPr>
        <w:t xml:space="preserve"> sociais. </w:t>
      </w:r>
    </w:p>
    <w:p w14:paraId="00000062"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pandemia de Covid-19 intensificou significativamente esses desafios ao produzir rupturas nos vínculos escolares, ampliar situações de isolamento social e aprofundar desigualdades já existentes. Estudo realizado com profissionais da atenção pri</w:t>
      </w:r>
      <w:r>
        <w:rPr>
          <w:rFonts w:ascii="Times New Roman" w:eastAsia="Times New Roman" w:hAnsi="Times New Roman" w:cs="Times New Roman"/>
          <w:sz w:val="24"/>
          <w:szCs w:val="24"/>
        </w:rPr>
        <w:t xml:space="preserve">mária identificou que a pandemia da Covid-19 se configurou como um dos principais </w:t>
      </w:r>
      <w:r>
        <w:rPr>
          <w:rFonts w:ascii="Times New Roman" w:eastAsia="Times New Roman" w:hAnsi="Times New Roman" w:cs="Times New Roman"/>
          <w:sz w:val="24"/>
          <w:szCs w:val="24"/>
        </w:rPr>
        <w:lastRenderedPageBreak/>
        <w:t>fatores limitantes para a articulação intersetorial do PSE, levando à suspensão de atendimentos de rotina e à priorização de casos agudos, com reflexos diretos na continuidad</w:t>
      </w:r>
      <w:r>
        <w:rPr>
          <w:rFonts w:ascii="Times New Roman" w:eastAsia="Times New Roman" w:hAnsi="Times New Roman" w:cs="Times New Roman"/>
          <w:sz w:val="24"/>
          <w:szCs w:val="24"/>
        </w:rPr>
        <w:t xml:space="preserve">e das ações de promoção da saúde infantil no espaço escolar (Rumor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Revisão da literatura identificou que a pandemia trouxe impactos na saúde mental dos adolescentes durante o período ausente da rotina escolar, reforçando a importância da esc</w:t>
      </w:r>
      <w:r>
        <w:rPr>
          <w:rFonts w:ascii="Times New Roman" w:eastAsia="Times New Roman" w:hAnsi="Times New Roman" w:cs="Times New Roman"/>
          <w:sz w:val="24"/>
          <w:szCs w:val="24"/>
        </w:rPr>
        <w:t xml:space="preserve">ola na vida dos estudantes e a necessidade de que ela, no cenário pós-pandêmico, promova a saúde mental em seu meio (Moura; </w:t>
      </w:r>
      <w:proofErr w:type="spellStart"/>
      <w:r>
        <w:rPr>
          <w:rFonts w:ascii="Times New Roman" w:eastAsia="Times New Roman" w:hAnsi="Times New Roman" w:cs="Times New Roman"/>
          <w:sz w:val="24"/>
          <w:szCs w:val="24"/>
        </w:rPr>
        <w:t>Bassoli</w:t>
      </w:r>
      <w:proofErr w:type="spellEnd"/>
      <w:r>
        <w:rPr>
          <w:rFonts w:ascii="Times New Roman" w:eastAsia="Times New Roman" w:hAnsi="Times New Roman" w:cs="Times New Roman"/>
          <w:sz w:val="24"/>
          <w:szCs w:val="24"/>
        </w:rPr>
        <w:t>, 2022). Além dos impactos sobre a aprendizagem, os efeitos duradouros sobre o bem-estar emocional de estudantes e profission</w:t>
      </w:r>
      <w:r>
        <w:rPr>
          <w:rFonts w:ascii="Times New Roman" w:eastAsia="Times New Roman" w:hAnsi="Times New Roman" w:cs="Times New Roman"/>
          <w:sz w:val="24"/>
          <w:szCs w:val="24"/>
        </w:rPr>
        <w:t xml:space="preserve">ais da educação evidenciam a necessidade de fortalecimento das políticas públicas voltadas à promoção da saúde mental no ambiente escolar. </w:t>
      </w:r>
    </w:p>
    <w:p w14:paraId="00000063" w14:textId="77777777" w:rsidR="00333B43" w:rsidRDefault="00651A03">
      <w:pPr>
        <w:spacing w:after="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a promoção da saúde no ambiente escolar tende a assumir papel cada vez mais estratégico para o desen</w:t>
      </w:r>
      <w:r>
        <w:rPr>
          <w:rFonts w:ascii="Times New Roman" w:eastAsia="Times New Roman" w:hAnsi="Times New Roman" w:cs="Times New Roman"/>
          <w:sz w:val="24"/>
          <w:szCs w:val="24"/>
        </w:rPr>
        <w:t>volvimento social e para a garantia de direitos. Estudos que analisaram o PSE como política pública intersetorial têm identificado várias fragilidades e desafios na implementação de abordagens intersetoriais, sinalizando que o fortalecimento da intersetori</w:t>
      </w:r>
      <w:r>
        <w:rPr>
          <w:rFonts w:ascii="Times New Roman" w:eastAsia="Times New Roman" w:hAnsi="Times New Roman" w:cs="Times New Roman"/>
          <w:sz w:val="24"/>
          <w:szCs w:val="24"/>
        </w:rPr>
        <w:t xml:space="preserve">alidade exige não apenas a articulação normativa entre setores, mas também a consolidação de práticas de trabalho conjunto que superem as fronteiras organizacionais tradicionais (Bezerra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2025). O enfrentamento dos desafios contemporâneos exige aind</w:t>
      </w:r>
      <w:r>
        <w:rPr>
          <w:rFonts w:ascii="Times New Roman" w:eastAsia="Times New Roman" w:hAnsi="Times New Roman" w:cs="Times New Roman"/>
          <w:sz w:val="24"/>
          <w:szCs w:val="24"/>
        </w:rPr>
        <w:t>a a manutenção de programas já consolidados, o fortalecimento das capacidades institucionais responsáveis pela coordenação intersetorial, pela implementação territorial das políticas públicas e pela incorporação de novas demandas relacionadas à saúde menta</w:t>
      </w:r>
      <w:r>
        <w:rPr>
          <w:rFonts w:ascii="Times New Roman" w:eastAsia="Times New Roman" w:hAnsi="Times New Roman" w:cs="Times New Roman"/>
          <w:sz w:val="24"/>
          <w:szCs w:val="24"/>
        </w:rPr>
        <w:t>l e ao bem-estar psicossocial. Dessa forma, o futuro da saúde escolar no Brasil dependerá da capacidade do Estado de transformar diretrizes normativas em ações efetivas capazes de responder às necessidades cada vez mais complexas das comunidades escolares.</w:t>
      </w:r>
    </w:p>
    <w:p w14:paraId="00000064" w14:textId="77777777" w:rsidR="00333B43" w:rsidRDefault="00333B43">
      <w:pPr>
        <w:spacing w:after="0" w:line="240" w:lineRule="auto"/>
        <w:ind w:firstLine="700"/>
        <w:jc w:val="both"/>
        <w:rPr>
          <w:rFonts w:ascii="Times New Roman" w:eastAsia="Times New Roman" w:hAnsi="Times New Roman" w:cs="Times New Roman"/>
          <w:sz w:val="24"/>
          <w:szCs w:val="24"/>
        </w:rPr>
      </w:pPr>
    </w:p>
    <w:p w14:paraId="00000065" w14:textId="77777777" w:rsidR="00333B43" w:rsidRDefault="00651A03">
      <w:pPr>
        <w:pStyle w:val="Ttulo1"/>
        <w:numPr>
          <w:ilvl w:val="0"/>
          <w:numId w:val="1"/>
        </w:num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CONSIDERAÇÕES FINAIS</w:t>
      </w:r>
    </w:p>
    <w:p w14:paraId="00000066" w14:textId="77777777" w:rsidR="00333B43" w:rsidRDefault="00333B43">
      <w:pPr>
        <w:spacing w:line="240" w:lineRule="auto"/>
        <w:rPr>
          <w:rFonts w:ascii="Times New Roman" w:eastAsia="Times New Roman" w:hAnsi="Times New Roman" w:cs="Times New Roman"/>
          <w:sz w:val="24"/>
          <w:szCs w:val="24"/>
        </w:rPr>
      </w:pPr>
    </w:p>
    <w:p w14:paraId="00000067" w14:textId="77777777" w:rsidR="00333B43" w:rsidRDefault="00651A0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trajetória das políticas públicas de promoção da saúde no ambiente escolar brasileiro evidencia um processo gradual de ampliação dos direitos sociais inaugurado pela Constituição Federal de 1988. Ao reconhecer a saúde e a educação</w:t>
      </w:r>
      <w:r>
        <w:rPr>
          <w:rFonts w:ascii="Times New Roman" w:eastAsia="Times New Roman" w:hAnsi="Times New Roman" w:cs="Times New Roman"/>
          <w:sz w:val="24"/>
          <w:szCs w:val="24"/>
        </w:rPr>
        <w:t xml:space="preserve"> como direitos fundamentais e deveres do Estado, o texto constitucional estabeleceu as bases normativas e institucionais que tornaram possível, nas décadas seguintes, a construção de mecanismos intersetoriais voltados ao desenvolvimento integral de criança</w:t>
      </w:r>
      <w:r>
        <w:rPr>
          <w:rFonts w:ascii="Times New Roman" w:eastAsia="Times New Roman" w:hAnsi="Times New Roman" w:cs="Times New Roman"/>
          <w:sz w:val="24"/>
          <w:szCs w:val="24"/>
        </w:rPr>
        <w:t>s e adolescentes (BRASIL, 1988). A criação do Sistema Único de Saúde, regulamentado pelas Leis nº 8.080 e nº 8.142, de 1990, consolidou esse processo ao estruturar uma política de saúde universal orientada pelos princípios da integralidade, da equidade e d</w:t>
      </w:r>
      <w:r>
        <w:rPr>
          <w:rFonts w:ascii="Times New Roman" w:eastAsia="Times New Roman" w:hAnsi="Times New Roman" w:cs="Times New Roman"/>
          <w:sz w:val="24"/>
          <w:szCs w:val="24"/>
        </w:rPr>
        <w:t>a descentralização (Nascimento, 2025).</w:t>
      </w:r>
    </w:p>
    <w:p w14:paraId="00000068" w14:textId="77777777" w:rsidR="00333B43" w:rsidRDefault="00651A0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Paralelamente, a incorporação dos princípios da Carta de Ottawa às políticas públicas brasileiras favoreceu a consolidação da promoção da saúde como paradigma orientador da ação estatal, estimulando abordagens prevent</w:t>
      </w:r>
      <w:r>
        <w:rPr>
          <w:rFonts w:ascii="Times New Roman" w:eastAsia="Times New Roman" w:hAnsi="Times New Roman" w:cs="Times New Roman"/>
          <w:sz w:val="24"/>
          <w:szCs w:val="24"/>
        </w:rPr>
        <w:t xml:space="preserve">ivas, educativas e </w:t>
      </w:r>
      <w:proofErr w:type="spellStart"/>
      <w:r>
        <w:rPr>
          <w:rFonts w:ascii="Times New Roman" w:eastAsia="Times New Roman" w:hAnsi="Times New Roman" w:cs="Times New Roman"/>
          <w:sz w:val="24"/>
          <w:szCs w:val="24"/>
        </w:rPr>
        <w:t>territorializadas</w:t>
      </w:r>
      <w:proofErr w:type="spellEnd"/>
      <w:r>
        <w:rPr>
          <w:rFonts w:ascii="Times New Roman" w:eastAsia="Times New Roman" w:hAnsi="Times New Roman" w:cs="Times New Roman"/>
          <w:sz w:val="24"/>
          <w:szCs w:val="24"/>
        </w:rPr>
        <w:t xml:space="preserve"> (WHO, 1986). Nesse contexto, a intersetorialidade emergiu como elemento central da governança das políticas públicas voltadas à saúde escolar, respondendo à compreensão de que os determinantes do processo saúde-doença t</w:t>
      </w:r>
      <w:r>
        <w:rPr>
          <w:rFonts w:ascii="Times New Roman" w:eastAsia="Times New Roman" w:hAnsi="Times New Roman" w:cs="Times New Roman"/>
          <w:sz w:val="24"/>
          <w:szCs w:val="24"/>
        </w:rPr>
        <w:t xml:space="preserve">ranscendem os limites de um único setor governamental (Prado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A criação do Programa Saúde na Escola, em 2007, representou a materialização desse processo, consolidando mecanismos permanentes de cooperação entre os Ministérios da Saúde e da Ed</w:t>
      </w:r>
      <w:r>
        <w:rPr>
          <w:rFonts w:ascii="Times New Roman" w:eastAsia="Times New Roman" w:hAnsi="Times New Roman" w:cs="Times New Roman"/>
          <w:sz w:val="24"/>
          <w:szCs w:val="24"/>
        </w:rPr>
        <w:t xml:space="preserve">ucação e expandindo progressivamente sua cobertura até atingir 97,3% dos municípios brasileiros no biênio 2021/2022 (Fernandes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w:t>
      </w:r>
    </w:p>
    <w:p w14:paraId="00000069" w14:textId="77777777" w:rsidR="00333B43" w:rsidRDefault="00651A0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Entretanto, a análise realizada demonstra que a institucionalização do PSE não elimina os desafios inerentes à imp</w:t>
      </w:r>
      <w:r>
        <w:rPr>
          <w:rFonts w:ascii="Times New Roman" w:eastAsia="Times New Roman" w:hAnsi="Times New Roman" w:cs="Times New Roman"/>
          <w:sz w:val="24"/>
          <w:szCs w:val="24"/>
        </w:rPr>
        <w:t xml:space="preserve">lementação de políticas públicas intersetoriais no contexto federativo brasileiro. Persistem obstáculos relacionados às desigualdades territoriais de implementação, à sobrecarga dos profissionais, à falta de recursos materiais e humanos e à dificuldade de </w:t>
      </w:r>
      <w:r>
        <w:rPr>
          <w:rFonts w:ascii="Times New Roman" w:eastAsia="Times New Roman" w:hAnsi="Times New Roman" w:cs="Times New Roman"/>
          <w:sz w:val="24"/>
          <w:szCs w:val="24"/>
        </w:rPr>
        <w:t xml:space="preserve">construir práticas colaborativas estáveis entre os setores envolvidos (Rumor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2022; Bezerra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2025). A esses desafios somam-se as crescentes demandas relacionadas à saúde mental de crianças e adolescentes, agravadas pelo contexto da pandemia d</w:t>
      </w:r>
      <w:r>
        <w:rPr>
          <w:rFonts w:ascii="Times New Roman" w:eastAsia="Times New Roman" w:hAnsi="Times New Roman" w:cs="Times New Roman"/>
          <w:sz w:val="24"/>
          <w:szCs w:val="24"/>
        </w:rPr>
        <w:t>e Covid-19, que produziu rupturas nos vínculos escolares, ampliou situações de isolamento social e evidenciou a necessidade de respostas integradas e permanentes (</w:t>
      </w:r>
      <w:proofErr w:type="spellStart"/>
      <w:r>
        <w:rPr>
          <w:rFonts w:ascii="Times New Roman" w:eastAsia="Times New Roman" w:hAnsi="Times New Roman" w:cs="Times New Roman"/>
          <w:sz w:val="24"/>
          <w:szCs w:val="24"/>
        </w:rPr>
        <w:t>Vazquez</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 A pandemia revelou, ainda, as fragilidades da articulação intersetorial quando submetida a situações de crise, reforçando a importância de estruturas institucionais sólidas que garantam a continuidade das ações para além de períodos adversos (Rumo</w:t>
      </w:r>
      <w:r>
        <w:rPr>
          <w:rFonts w:ascii="Times New Roman" w:eastAsia="Times New Roman" w:hAnsi="Times New Roman" w:cs="Times New Roman"/>
          <w:sz w:val="24"/>
          <w:szCs w:val="24"/>
        </w:rPr>
        <w:t xml:space="preserve">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w:t>
      </w:r>
    </w:p>
    <w:p w14:paraId="0000006A" w14:textId="77777777" w:rsidR="00333B43" w:rsidRDefault="00651A0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da articulação entre educação e saúde indica que a superação desses obstáculos exige tanto a manutenção dos programas já consolidados, como também o fortalecimento das capacidades estatais responsáveis pela coordenação intersetor</w:t>
      </w:r>
      <w:r>
        <w:rPr>
          <w:rFonts w:ascii="Times New Roman" w:eastAsia="Times New Roman" w:hAnsi="Times New Roman" w:cs="Times New Roman"/>
          <w:sz w:val="24"/>
          <w:szCs w:val="24"/>
        </w:rPr>
        <w:t xml:space="preserve">ial e pela incorporação de novas demandas. Nesse sentido, a intersetorialidade deve ser tratada como prática indispensável à efetivação de direitos sociais e à redução de desigualdades persistentes, cuja consolidação depende de planejamento compartilhado, </w:t>
      </w:r>
      <w:r>
        <w:rPr>
          <w:rFonts w:ascii="Times New Roman" w:eastAsia="Times New Roman" w:hAnsi="Times New Roman" w:cs="Times New Roman"/>
          <w:sz w:val="24"/>
          <w:szCs w:val="24"/>
        </w:rPr>
        <w:t xml:space="preserve">financiamento adequado e mecanismos integrados de avaliação (Prado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2022).</w:t>
      </w:r>
    </w:p>
    <w:p w14:paraId="0000006B" w14:textId="77777777" w:rsidR="00333B43" w:rsidRDefault="00651A0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Conclui-se, portanto, que o Programa Saúde na Escola representa um marco relevante na trajetória das políticas públicas brasileiras de promoção da saúde, sendo expressão conc</w:t>
      </w:r>
      <w:r>
        <w:rPr>
          <w:rFonts w:ascii="Times New Roman" w:eastAsia="Times New Roman" w:hAnsi="Times New Roman" w:cs="Times New Roman"/>
          <w:sz w:val="24"/>
          <w:szCs w:val="24"/>
        </w:rPr>
        <w:t>reta da capacidade do Estado de articular diferentes setores em torno de objetivos comuns. Contudo, sua consolidação plena depende do enfrentamento dos desafios estruturais identificados e da capacidade do poder público de transformar diretrizes normativas</w:t>
      </w:r>
      <w:r>
        <w:rPr>
          <w:rFonts w:ascii="Times New Roman" w:eastAsia="Times New Roman" w:hAnsi="Times New Roman" w:cs="Times New Roman"/>
          <w:sz w:val="24"/>
          <w:szCs w:val="24"/>
        </w:rPr>
        <w:t xml:space="preserve"> em ações efetivas, equitativas e sustentáveis nos territórios. O futuro da saúde escolar no Brasil está, portanto, condicionado ao fortalecimento contínuo da governança intersetorial, à valorização dos profissionais de saúde e educação e ao compromisso do</w:t>
      </w:r>
      <w:r>
        <w:rPr>
          <w:rFonts w:ascii="Times New Roman" w:eastAsia="Times New Roman" w:hAnsi="Times New Roman" w:cs="Times New Roman"/>
          <w:sz w:val="24"/>
          <w:szCs w:val="24"/>
        </w:rPr>
        <w:t xml:space="preserve"> Estado com a garantia integral dos direitos de crianças e adolescentes.</w:t>
      </w:r>
    </w:p>
    <w:p w14:paraId="0000006C" w14:textId="77777777" w:rsidR="00333B43" w:rsidRDefault="00333B43">
      <w:pPr>
        <w:spacing w:after="0" w:line="240" w:lineRule="auto"/>
        <w:ind w:firstLine="700"/>
        <w:jc w:val="both"/>
        <w:rPr>
          <w:rFonts w:ascii="Times New Roman" w:eastAsia="Times New Roman" w:hAnsi="Times New Roman" w:cs="Times New Roman"/>
          <w:sz w:val="24"/>
          <w:szCs w:val="24"/>
        </w:rPr>
      </w:pPr>
    </w:p>
    <w:p w14:paraId="0000006D" w14:textId="77777777" w:rsidR="00333B43" w:rsidRDefault="00333B43">
      <w:pPr>
        <w:spacing w:after="0" w:line="360" w:lineRule="auto"/>
        <w:ind w:firstLine="700"/>
        <w:jc w:val="both"/>
        <w:rPr>
          <w:rFonts w:ascii="Times New Roman" w:eastAsia="Times New Roman" w:hAnsi="Times New Roman" w:cs="Times New Roman"/>
          <w:sz w:val="24"/>
          <w:szCs w:val="24"/>
        </w:rPr>
      </w:pPr>
    </w:p>
    <w:p w14:paraId="0000006E" w14:textId="77777777" w:rsidR="00333B43" w:rsidRDefault="00651A03">
      <w:pPr>
        <w:pStyle w:val="Ttulo1"/>
        <w:jc w:val="center"/>
        <w:rPr>
          <w:rFonts w:ascii="Times New Roman" w:eastAsia="Times New Roman" w:hAnsi="Times New Roman" w:cs="Times New Roman"/>
          <w:b/>
          <w:bCs/>
          <w:color w:val="000000"/>
          <w:sz w:val="24"/>
          <w:szCs w:val="24"/>
        </w:rPr>
      </w:pPr>
      <w:r>
        <w:br w:type="page"/>
      </w:r>
    </w:p>
    <w:p w14:paraId="0000006F" w14:textId="77777777" w:rsidR="00333B43" w:rsidRDefault="00651A03">
      <w:pPr>
        <w:pStyle w:val="Ttulo1"/>
        <w:rPr>
          <w:rFonts w:ascii="Times New Roman" w:eastAsia="Times New Roman" w:hAnsi="Times New Roman" w:cs="Times New Roman"/>
          <w:b/>
          <w:bCs/>
          <w:color w:val="000000"/>
          <w:sz w:val="24"/>
          <w:szCs w:val="24"/>
        </w:rPr>
      </w:pPr>
      <w:bookmarkStart w:id="7" w:name="_heading=h.b2j5kdga6jvh" w:colFirst="0" w:colLast="0"/>
      <w:bookmarkEnd w:id="7"/>
      <w:r>
        <w:rPr>
          <w:rFonts w:ascii="Times New Roman" w:eastAsia="Times New Roman" w:hAnsi="Times New Roman" w:cs="Times New Roman"/>
          <w:b/>
          <w:bCs/>
          <w:color w:val="000000"/>
          <w:sz w:val="24"/>
          <w:szCs w:val="24"/>
        </w:rPr>
        <w:lastRenderedPageBreak/>
        <w:t>REFERÊNCIAS</w:t>
      </w:r>
    </w:p>
    <w:p w14:paraId="00000070" w14:textId="77777777" w:rsidR="00333B43" w:rsidRDefault="00333B43">
      <w:pPr>
        <w:rPr>
          <w:rFonts w:ascii="Times New Roman" w:eastAsia="Times New Roman" w:hAnsi="Times New Roman" w:cs="Times New Roman"/>
          <w:sz w:val="24"/>
          <w:szCs w:val="24"/>
        </w:rPr>
      </w:pPr>
    </w:p>
    <w:p w14:paraId="00000071"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ALMEIDA, F. N.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Articulação intersetorial entre educação, saúde e políticas públicas: caminhos in</w:t>
      </w:r>
      <w:bookmarkStart w:id="8" w:name="_GoBack"/>
      <w:bookmarkEnd w:id="8"/>
      <w:r>
        <w:rPr>
          <w:rFonts w:ascii="Times New Roman" w:eastAsia="Times New Roman" w:hAnsi="Times New Roman" w:cs="Times New Roman"/>
          <w:sz w:val="24"/>
          <w:szCs w:val="24"/>
        </w:rPr>
        <w:t xml:space="preserve">stitucionais para a redução das desigualdades e promoção da equidade social no Brasil. </w:t>
      </w:r>
      <w:r>
        <w:rPr>
          <w:rFonts w:ascii="Times New Roman" w:eastAsia="Times New Roman" w:hAnsi="Times New Roman" w:cs="Times New Roman"/>
          <w:b/>
          <w:bCs/>
          <w:sz w:val="24"/>
          <w:szCs w:val="24"/>
        </w:rPr>
        <w:t>Revista Tópicos</w:t>
      </w:r>
      <w:r>
        <w:rPr>
          <w:rFonts w:ascii="Times New Roman" w:eastAsia="Times New Roman" w:hAnsi="Times New Roman" w:cs="Times New Roman"/>
          <w:sz w:val="24"/>
          <w:szCs w:val="24"/>
        </w:rPr>
        <w:t>, Rio de Janeiro, v. 4, n. 32, p. 1-22, abr. 2026. Disponível em: https</w:t>
      </w:r>
      <w:r>
        <w:rPr>
          <w:rFonts w:ascii="Times New Roman" w:eastAsia="Times New Roman" w:hAnsi="Times New Roman" w:cs="Times New Roman"/>
          <w:sz w:val="24"/>
          <w:szCs w:val="24"/>
        </w:rPr>
        <w:t>://doi.org/10.70773/revistatopicos/776787753. Acesso em: 18 jun. 2026.</w:t>
      </w:r>
    </w:p>
    <w:p w14:paraId="00000072"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BARBOZA, R. </w:t>
      </w:r>
      <w:r>
        <w:rPr>
          <w:rFonts w:ascii="Times New Roman" w:eastAsia="Times New Roman" w:hAnsi="Times New Roman" w:cs="Times New Roman"/>
          <w:b/>
          <w:bCs/>
          <w:sz w:val="24"/>
          <w:szCs w:val="24"/>
        </w:rPr>
        <w:t>Democracia e Reforma Sanitária</w:t>
      </w:r>
      <w:r>
        <w:rPr>
          <w:rFonts w:ascii="Times New Roman" w:eastAsia="Times New Roman" w:hAnsi="Times New Roman" w:cs="Times New Roman"/>
          <w:sz w:val="24"/>
          <w:szCs w:val="24"/>
        </w:rPr>
        <w:t>. 2023. Tese (Doutorado em Saúde Coletiva) – Instituto de Psicologia, Universidade de São Paulo, São Paulo, 2023. Disponível em:</w:t>
      </w:r>
      <w:hyperlink r:id="rId7">
        <w:r>
          <w:rPr>
            <w:rFonts w:ascii="Times New Roman" w:eastAsia="Times New Roman" w:hAnsi="Times New Roman" w:cs="Times New Roman"/>
            <w:sz w:val="24"/>
            <w:szCs w:val="24"/>
            <w:u w:val="single"/>
          </w:rPr>
          <w:t xml:space="preserve"> </w:t>
        </w:r>
      </w:hyperlink>
      <w:r>
        <w:rPr>
          <w:rFonts w:ascii="Times New Roman" w:eastAsia="Times New Roman" w:hAnsi="Times New Roman" w:cs="Times New Roman"/>
          <w:sz w:val="24"/>
          <w:szCs w:val="24"/>
        </w:rPr>
        <w:t>https://teses.usp.br/teses/disponiveis/47/47134/tde-08122023-173135/publico/Corrigida_TESE_Renato_Barboza_NUSP3064780.pdf. Acesso em: 16 jun. 2026.</w:t>
      </w:r>
    </w:p>
    <w:p w14:paraId="00000073"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BEZERRA, A.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S.; MACHADO, M. F.; SOU</w:t>
      </w:r>
      <w:r>
        <w:rPr>
          <w:rFonts w:ascii="Times New Roman" w:eastAsia="Times New Roman" w:hAnsi="Times New Roman" w:cs="Times New Roman"/>
          <w:sz w:val="24"/>
          <w:szCs w:val="24"/>
        </w:rPr>
        <w:t xml:space="preserve">ZA, D. de O.; QUIRINO, T. R. L. A intersetorialidade no Programa Saúde na Escola: uma análise nos documentos orientadores no processo de trabalho para execução do PSE. </w:t>
      </w:r>
      <w:r>
        <w:rPr>
          <w:rFonts w:ascii="Times New Roman" w:eastAsia="Times New Roman" w:hAnsi="Times New Roman" w:cs="Times New Roman"/>
          <w:b/>
          <w:bCs/>
          <w:sz w:val="24"/>
          <w:szCs w:val="24"/>
        </w:rPr>
        <w:t>Saúde Coletiva</w:t>
      </w:r>
      <w:r>
        <w:rPr>
          <w:rFonts w:ascii="Times New Roman" w:eastAsia="Times New Roman" w:hAnsi="Times New Roman" w:cs="Times New Roman"/>
          <w:sz w:val="24"/>
          <w:szCs w:val="24"/>
        </w:rPr>
        <w:t xml:space="preserve"> (Barueri), v. 16, n. 102, p. 17806-17825, 2025. DOI: https://doi.org/10.3</w:t>
      </w:r>
      <w:r>
        <w:rPr>
          <w:rFonts w:ascii="Times New Roman" w:eastAsia="Times New Roman" w:hAnsi="Times New Roman" w:cs="Times New Roman"/>
          <w:sz w:val="24"/>
          <w:szCs w:val="24"/>
        </w:rPr>
        <w:t>6489/saudecoletiva.2025v16i102p17806-17825. Acesso em 18 jun. 2026.</w:t>
      </w:r>
    </w:p>
    <w:p w14:paraId="00000074"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Constituição (1988)</w:t>
      </w:r>
      <w:r>
        <w:rPr>
          <w:rFonts w:ascii="Times New Roman" w:eastAsia="Times New Roman" w:hAnsi="Times New Roman" w:cs="Times New Roman"/>
          <w:sz w:val="24"/>
          <w:szCs w:val="24"/>
        </w:rPr>
        <w:t>. Constituição da República Federativa do Brasil de 1988. Brasília, DF: Presidência da República, 1988. Disponível em: https://www.planalto.gov.br/ccivil_03/cons</w:t>
      </w:r>
      <w:r>
        <w:rPr>
          <w:rFonts w:ascii="Times New Roman" w:eastAsia="Times New Roman" w:hAnsi="Times New Roman" w:cs="Times New Roman"/>
          <w:sz w:val="24"/>
          <w:szCs w:val="24"/>
        </w:rPr>
        <w:t>tituicao/constituicao.htm. Acesso em: 2 jun. 2026.</w:t>
      </w:r>
    </w:p>
    <w:p w14:paraId="00000075"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b/>
          <w:bCs/>
          <w:sz w:val="24"/>
          <w:szCs w:val="24"/>
        </w:rPr>
        <w:t>Decreto nº 6.286, de 5 de dezembro de 2007</w:t>
      </w:r>
      <w:r>
        <w:rPr>
          <w:rFonts w:ascii="Times New Roman" w:eastAsia="Times New Roman" w:hAnsi="Times New Roman" w:cs="Times New Roman"/>
          <w:sz w:val="24"/>
          <w:szCs w:val="24"/>
        </w:rPr>
        <w:t>. Institui o Programa Saúde na Escola - PSE, e dá outras providências. Diário Oficial da União, Brasília, DF, 6 dez. 2007. Disponível em: http://www.planal</w:t>
      </w:r>
      <w:r>
        <w:rPr>
          <w:rFonts w:ascii="Times New Roman" w:eastAsia="Times New Roman" w:hAnsi="Times New Roman" w:cs="Times New Roman"/>
          <w:sz w:val="24"/>
          <w:szCs w:val="24"/>
        </w:rPr>
        <w:t>to.gov.br/ccivil_03/_ato2007-2010/2007/decreto/d6286.htm. Acesso em: 17 jun. 2026.</w:t>
      </w:r>
    </w:p>
    <w:p w14:paraId="00000076"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FABIANO, U. C.; BORGES FILHO, M. Q. Proteção social no Brasil: desafios do neoliberalismo e perspectivas de equidade.</w:t>
      </w:r>
      <w:r>
        <w:rPr>
          <w:rFonts w:ascii="Times New Roman" w:eastAsia="Times New Roman" w:hAnsi="Times New Roman" w:cs="Times New Roman"/>
          <w:b/>
          <w:bCs/>
          <w:sz w:val="24"/>
          <w:szCs w:val="24"/>
        </w:rPr>
        <w:t xml:space="preserve"> Serviço Social &amp; Sociedade</w:t>
      </w:r>
      <w:r>
        <w:rPr>
          <w:rFonts w:ascii="Times New Roman" w:eastAsia="Times New Roman" w:hAnsi="Times New Roman" w:cs="Times New Roman"/>
          <w:sz w:val="24"/>
          <w:szCs w:val="24"/>
        </w:rPr>
        <w:t>, São Paulo, v. 147, n. 1, e-6628378, p. 1-25, 2024. Disponível em: https://doi.org/10.1590/0101-6628.378. Acess</w:t>
      </w:r>
      <w:r>
        <w:rPr>
          <w:rFonts w:ascii="Times New Roman" w:eastAsia="Times New Roman" w:hAnsi="Times New Roman" w:cs="Times New Roman"/>
          <w:sz w:val="24"/>
          <w:szCs w:val="24"/>
        </w:rPr>
        <w:t>o em: 16 jun. 2026.</w:t>
      </w:r>
    </w:p>
    <w:p w14:paraId="00000077"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FERNANDES, L. A.; CRUZ, K. G.; SILVA, J. R. M. Promoção da saúde e intersetorialidade na escola: a monumental ambição do Programa Saúde na Escola. </w:t>
      </w:r>
      <w:r>
        <w:rPr>
          <w:rFonts w:ascii="Times New Roman" w:eastAsia="Times New Roman" w:hAnsi="Times New Roman" w:cs="Times New Roman"/>
          <w:b/>
          <w:bCs/>
          <w:sz w:val="24"/>
          <w:szCs w:val="24"/>
        </w:rPr>
        <w:t>Saúde em Debate</w:t>
      </w:r>
      <w:r>
        <w:rPr>
          <w:rFonts w:ascii="Times New Roman" w:eastAsia="Times New Roman" w:hAnsi="Times New Roman" w:cs="Times New Roman"/>
          <w:sz w:val="24"/>
          <w:szCs w:val="24"/>
        </w:rPr>
        <w:t>, Rio de Janeiro, v. 46, n. esp. 3, p. 5-8, nov. 2022. Disponível em:</w:t>
      </w:r>
      <w:hyperlink r:id="rId8">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https://doi.org/10.1590/0103-11042022E300. Acesso em: 18 jun. 2026.</w:t>
      </w:r>
    </w:p>
    <w:p w14:paraId="00000078"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FERNANDES, L. A.; SHIMIZU, H. E.; PRADO NETO, P. F. do; CAVALCANTE, F. V. S. A.; SILVA, J. R. M.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PARENTE, R. C. M. Trajetória dos 15 anos de</w:t>
      </w:r>
      <w:r>
        <w:rPr>
          <w:rFonts w:ascii="Times New Roman" w:eastAsia="Times New Roman" w:hAnsi="Times New Roman" w:cs="Times New Roman"/>
          <w:sz w:val="24"/>
          <w:szCs w:val="24"/>
        </w:rPr>
        <w:t xml:space="preserve"> implementação do Programa Saúde na Escola no Brasil. </w:t>
      </w:r>
      <w:r>
        <w:rPr>
          <w:rFonts w:ascii="Times New Roman" w:eastAsia="Times New Roman" w:hAnsi="Times New Roman" w:cs="Times New Roman"/>
          <w:b/>
          <w:bCs/>
          <w:sz w:val="24"/>
          <w:szCs w:val="24"/>
        </w:rPr>
        <w:t>Saúde em Debate</w:t>
      </w:r>
      <w:r>
        <w:rPr>
          <w:rFonts w:ascii="Times New Roman" w:eastAsia="Times New Roman" w:hAnsi="Times New Roman" w:cs="Times New Roman"/>
          <w:sz w:val="24"/>
          <w:szCs w:val="24"/>
        </w:rPr>
        <w:t>, Rio de Janeiro, v. 46, n. esp. 3, p. 13-28, nov. 2022. Disponível em: https://doi.org/10.1590/0103-11042022E301. Acesso em: 18 jun. 2026.</w:t>
      </w:r>
    </w:p>
    <w:p w14:paraId="00000079"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FREIRE, T. IBGE alerta para quadro preocupante </w:t>
      </w:r>
      <w:r>
        <w:rPr>
          <w:rFonts w:ascii="Times New Roman" w:eastAsia="Times New Roman" w:hAnsi="Times New Roman" w:cs="Times New Roman"/>
          <w:sz w:val="24"/>
          <w:szCs w:val="24"/>
        </w:rPr>
        <w:t xml:space="preserve">na saúde mental de adolescentes. </w:t>
      </w:r>
      <w:r>
        <w:rPr>
          <w:rFonts w:ascii="Times New Roman" w:eastAsia="Times New Roman" w:hAnsi="Times New Roman" w:cs="Times New Roman"/>
          <w:b/>
          <w:bCs/>
          <w:sz w:val="24"/>
          <w:szCs w:val="24"/>
        </w:rPr>
        <w:t>Agência Brasil</w:t>
      </w:r>
      <w:r>
        <w:rPr>
          <w:rFonts w:ascii="Times New Roman" w:eastAsia="Times New Roman" w:hAnsi="Times New Roman" w:cs="Times New Roman"/>
          <w:sz w:val="24"/>
          <w:szCs w:val="24"/>
        </w:rPr>
        <w:t>, Brasília, DF, 25 mar. 2026. Disponível em:</w:t>
      </w:r>
      <w:hyperlink r:id="rId9">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https://agenciabrasil.ebc.com.br/saude/noticia/2026-03/ibge-alerta-para-quadro-preocupante-na-saude-mental-de-a</w:t>
      </w:r>
      <w:r>
        <w:rPr>
          <w:rFonts w:ascii="Times New Roman" w:eastAsia="Times New Roman" w:hAnsi="Times New Roman" w:cs="Times New Roman"/>
          <w:sz w:val="24"/>
          <w:szCs w:val="24"/>
        </w:rPr>
        <w:t>dolescentes. Acesso em: 17 jun. 2026.</w:t>
      </w:r>
    </w:p>
    <w:p w14:paraId="0000007A"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GUIMARÃES, M. H. D.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Educação e promoção em saúde: estratégias intersetoriais na construção da integralidade do cuidado. </w:t>
      </w:r>
      <w:proofErr w:type="spellStart"/>
      <w:r>
        <w:rPr>
          <w:rFonts w:ascii="Times New Roman" w:eastAsia="Times New Roman" w:hAnsi="Times New Roman" w:cs="Times New Roman"/>
          <w:b/>
          <w:bCs/>
          <w:sz w:val="24"/>
          <w:szCs w:val="24"/>
        </w:rPr>
        <w:t>Research</w:t>
      </w:r>
      <w:proofErr w:type="spellEnd"/>
      <w:r>
        <w:rPr>
          <w:rFonts w:ascii="Times New Roman" w:eastAsia="Times New Roman" w:hAnsi="Times New Roman" w:cs="Times New Roman"/>
          <w:b/>
          <w:bCs/>
          <w:sz w:val="24"/>
          <w:szCs w:val="24"/>
        </w:rPr>
        <w:t xml:space="preserve">, Society </w:t>
      </w:r>
      <w:proofErr w:type="spellStart"/>
      <w:r>
        <w:rPr>
          <w:rFonts w:ascii="Times New Roman" w:eastAsia="Times New Roman" w:hAnsi="Times New Roman" w:cs="Times New Roman"/>
          <w:b/>
          <w:bCs/>
          <w:sz w:val="24"/>
          <w:szCs w:val="24"/>
        </w:rPr>
        <w:t>and</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Development</w:t>
      </w:r>
      <w:proofErr w:type="spellEnd"/>
      <w:r>
        <w:rPr>
          <w:rFonts w:ascii="Times New Roman" w:eastAsia="Times New Roman" w:hAnsi="Times New Roman" w:cs="Times New Roman"/>
          <w:sz w:val="24"/>
          <w:szCs w:val="24"/>
        </w:rPr>
        <w:t>, v. 15, n. 1, p. 1-10, jan. 2026. Disponível em:</w:t>
      </w:r>
      <w:hyperlink r:id="rId10">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https://doi.org/10.61164/kefnws37. Acesso em: 17 jun. 2026.</w:t>
      </w:r>
    </w:p>
    <w:p w14:paraId="0000007B"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MONTEIRO, S.; BRIGEIRO, M. Promoção da saúde e </w:t>
      </w:r>
      <w:proofErr w:type="spellStart"/>
      <w:r>
        <w:rPr>
          <w:rFonts w:ascii="Times New Roman" w:eastAsia="Times New Roman" w:hAnsi="Times New Roman" w:cs="Times New Roman"/>
          <w:sz w:val="24"/>
          <w:szCs w:val="24"/>
        </w:rPr>
        <w:t>biomedicalização</w:t>
      </w:r>
      <w:proofErr w:type="spellEnd"/>
      <w:r>
        <w:rPr>
          <w:rFonts w:ascii="Times New Roman" w:eastAsia="Times New Roman" w:hAnsi="Times New Roman" w:cs="Times New Roman"/>
          <w:sz w:val="24"/>
          <w:szCs w:val="24"/>
        </w:rPr>
        <w:t xml:space="preserve">: balanço crítico da literatura sobre testagem do HIV (2010-2019). </w:t>
      </w:r>
      <w:r>
        <w:rPr>
          <w:rFonts w:ascii="Times New Roman" w:eastAsia="Times New Roman" w:hAnsi="Times New Roman" w:cs="Times New Roman"/>
          <w:b/>
          <w:bCs/>
          <w:sz w:val="24"/>
          <w:szCs w:val="24"/>
        </w:rPr>
        <w:t>Saúde e Sociedade</w:t>
      </w:r>
      <w:r>
        <w:rPr>
          <w:rFonts w:ascii="Times New Roman" w:eastAsia="Times New Roman" w:hAnsi="Times New Roman" w:cs="Times New Roman"/>
          <w:sz w:val="24"/>
          <w:szCs w:val="24"/>
        </w:rPr>
        <w:t>, São Pa</w:t>
      </w:r>
      <w:r>
        <w:rPr>
          <w:rFonts w:ascii="Times New Roman" w:eastAsia="Times New Roman" w:hAnsi="Times New Roman" w:cs="Times New Roman"/>
          <w:sz w:val="24"/>
          <w:szCs w:val="24"/>
        </w:rPr>
        <w:t>ulo, v. 33, n. 3, e230335pt, p. 1-15, 2024. Disponível em: https://doi.org/10.1590/S0104-12902024230335pt). Acesso em: 17 jun. 2026.</w:t>
      </w:r>
    </w:p>
    <w:p w14:paraId="0000007C"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MORAES, V. D.; MACHADO, C. V.; MAGALHÃES, R. Governança e coordenação intersetorial de políticas públicas: a Câmara Interse</w:t>
      </w:r>
      <w:r>
        <w:rPr>
          <w:rFonts w:ascii="Times New Roman" w:eastAsia="Times New Roman" w:hAnsi="Times New Roman" w:cs="Times New Roman"/>
          <w:sz w:val="24"/>
          <w:szCs w:val="24"/>
        </w:rPr>
        <w:t xml:space="preserve">torial de Segurança Alimentar e Nutricional. </w:t>
      </w:r>
      <w:r>
        <w:rPr>
          <w:rFonts w:ascii="Times New Roman" w:eastAsia="Times New Roman" w:hAnsi="Times New Roman" w:cs="Times New Roman"/>
          <w:b/>
          <w:bCs/>
          <w:sz w:val="24"/>
          <w:szCs w:val="24"/>
        </w:rPr>
        <w:t>Saúde em Debate</w:t>
      </w:r>
      <w:r>
        <w:rPr>
          <w:rFonts w:ascii="Times New Roman" w:eastAsia="Times New Roman" w:hAnsi="Times New Roman" w:cs="Times New Roman"/>
          <w:sz w:val="24"/>
          <w:szCs w:val="24"/>
        </w:rPr>
        <w:t>, Rio de Janeiro, v. 45, n. 130, p. 575-589, jul./set. 2021. Disponível em: https://doi.org/10.1590/0103-1104202113002. Acesso em: 17 jun. 2026.</w:t>
      </w:r>
    </w:p>
    <w:p w14:paraId="0000007D"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MOURA, A. A. M. de; BASSOLI, I. Impacto da pandemia</w:t>
      </w:r>
      <w:r>
        <w:rPr>
          <w:rFonts w:ascii="Times New Roman" w:eastAsia="Times New Roman" w:hAnsi="Times New Roman" w:cs="Times New Roman"/>
          <w:sz w:val="24"/>
          <w:szCs w:val="24"/>
        </w:rPr>
        <w:t xml:space="preserve"> de Covid-19 na saúde mental dos adolescentes brasileiros. </w:t>
      </w:r>
      <w:r>
        <w:rPr>
          <w:rFonts w:ascii="Times New Roman" w:eastAsia="Times New Roman" w:hAnsi="Times New Roman" w:cs="Times New Roman"/>
          <w:b/>
          <w:bCs/>
          <w:sz w:val="24"/>
          <w:szCs w:val="24"/>
        </w:rPr>
        <w:t>Revista Científica Multidisciplinar Núcleo do Conhecimento</w:t>
      </w:r>
      <w:r>
        <w:rPr>
          <w:rFonts w:ascii="Times New Roman" w:eastAsia="Times New Roman" w:hAnsi="Times New Roman" w:cs="Times New Roman"/>
          <w:sz w:val="24"/>
          <w:szCs w:val="24"/>
        </w:rPr>
        <w:t>, 2022. Disponível em: https://revistaft.com.br/impacto-da-pandemia-de-covid-19-na-saude-mental-dos-adolescentes-brasileiros/. Acesso em: 1</w:t>
      </w:r>
      <w:r>
        <w:rPr>
          <w:rFonts w:ascii="Times New Roman" w:eastAsia="Times New Roman" w:hAnsi="Times New Roman" w:cs="Times New Roman"/>
          <w:sz w:val="24"/>
          <w:szCs w:val="24"/>
        </w:rPr>
        <w:t>7 jun. 2026.</w:t>
      </w:r>
    </w:p>
    <w:p w14:paraId="0000007E"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MUNSLINGER, C.; BALESTRIN, A. A governança intersetorial do Programa Saúde na Escola: diagnóstico e propostas para municípios de pequeno porte. In: MINISTÉRIO DA EDUCAÇÃO (MEC). </w:t>
      </w:r>
      <w:r>
        <w:rPr>
          <w:rFonts w:ascii="Times New Roman" w:eastAsia="Times New Roman" w:hAnsi="Times New Roman" w:cs="Times New Roman"/>
          <w:b/>
          <w:bCs/>
          <w:sz w:val="24"/>
          <w:szCs w:val="24"/>
        </w:rPr>
        <w:t>Governança do entrelaçado: o Programa Escola em Tempo Integral.</w:t>
      </w:r>
      <w:r>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 xml:space="preserve">rasília, DF: MEC, 2024. Disponível em: https://www.gov.br/mec/pt-br/escola-em-tempo-integral/arquivos/GovernanadoEntrelaardoProgramaETI.pdf. Acesso em: 18 jun. 2026. </w:t>
      </w:r>
    </w:p>
    <w:p w14:paraId="0000007F"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J. </w:t>
      </w:r>
      <w:r>
        <w:rPr>
          <w:rFonts w:ascii="Times New Roman" w:eastAsia="Times New Roman" w:hAnsi="Times New Roman" w:cs="Times New Roman"/>
          <w:b/>
          <w:bCs/>
          <w:sz w:val="24"/>
          <w:szCs w:val="24"/>
        </w:rPr>
        <w:t>A. A articulação entre o SUS e a política de HIV/Aids</w:t>
      </w:r>
      <w:r>
        <w:rPr>
          <w:rFonts w:ascii="Times New Roman" w:eastAsia="Times New Roman" w:hAnsi="Times New Roman" w:cs="Times New Roman"/>
          <w:sz w:val="24"/>
          <w:szCs w:val="24"/>
        </w:rPr>
        <w:t>. 2025. Dissertação (</w:t>
      </w:r>
      <w:r>
        <w:rPr>
          <w:rFonts w:ascii="Times New Roman" w:eastAsia="Times New Roman" w:hAnsi="Times New Roman" w:cs="Times New Roman"/>
          <w:sz w:val="24"/>
          <w:szCs w:val="24"/>
        </w:rPr>
        <w:t>Mestrado em Saúde Pública) – Faculdade de Medicina, Universidade Federal do Ceará, Fortaleza, 2025. Disponível em:</w:t>
      </w:r>
      <w:hyperlink r:id="rId11">
        <w:r>
          <w:rPr>
            <w:rFonts w:ascii="Times New Roman" w:eastAsia="Times New Roman" w:hAnsi="Times New Roman" w:cs="Times New Roman"/>
            <w:sz w:val="24"/>
            <w:szCs w:val="24"/>
            <w:u w:val="single"/>
          </w:rPr>
          <w:t xml:space="preserve"> </w:t>
        </w:r>
      </w:hyperlink>
      <w:r>
        <w:rPr>
          <w:rFonts w:ascii="Times New Roman" w:eastAsia="Times New Roman" w:hAnsi="Times New Roman" w:cs="Times New Roman"/>
          <w:sz w:val="24"/>
          <w:szCs w:val="24"/>
        </w:rPr>
        <w:t>https://repositorio.ufc.br/bitstream/riufc/80273/5/2025_dis_janascimento.pdf. Acesso em: 18 ju</w:t>
      </w:r>
      <w:r>
        <w:rPr>
          <w:rFonts w:ascii="Times New Roman" w:eastAsia="Times New Roman" w:hAnsi="Times New Roman" w:cs="Times New Roman"/>
          <w:sz w:val="24"/>
          <w:szCs w:val="24"/>
        </w:rPr>
        <w:t>n. 2026.</w:t>
      </w:r>
    </w:p>
    <w:p w14:paraId="00000080"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PASCHOALOTTO, M. A. C.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Avanços, desafios e perspectivas futuras para a resiliência do SUS. Ciência &amp; Saúde Coletiva, Rio de Janeiro, v. 30, n. 6, p. 1-12, jun. 2025. Disponível </w:t>
      </w:r>
      <w:proofErr w:type="spellStart"/>
      <w:r>
        <w:rPr>
          <w:rFonts w:ascii="Times New Roman" w:eastAsia="Times New Roman" w:hAnsi="Times New Roman" w:cs="Times New Roman"/>
          <w:sz w:val="24"/>
          <w:szCs w:val="24"/>
        </w:rPr>
        <w:t>em:https</w:t>
      </w:r>
      <w:proofErr w:type="spellEnd"/>
      <w:r>
        <w:rPr>
          <w:rFonts w:ascii="Times New Roman" w:eastAsia="Times New Roman" w:hAnsi="Times New Roman" w:cs="Times New Roman"/>
          <w:sz w:val="24"/>
          <w:szCs w:val="24"/>
        </w:rPr>
        <w:t>://doi.org/10.1590/1413-81232025306.22072024. Acesso em</w:t>
      </w:r>
      <w:r>
        <w:rPr>
          <w:rFonts w:ascii="Times New Roman" w:eastAsia="Times New Roman" w:hAnsi="Times New Roman" w:cs="Times New Roman"/>
          <w:sz w:val="24"/>
          <w:szCs w:val="24"/>
        </w:rPr>
        <w:t>: 17 jun. 2026.</w:t>
      </w:r>
    </w:p>
    <w:p w14:paraId="00000081"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PEREIRA, F. M.; CONCEIÇÃO, L. C.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PAIXÃO, C. J.; NASCIMENTO, L. S. do. Programa Saúde na Escola: aspectos históricos da saúde do escolar e reflexões sobre a intersetorialidade. </w:t>
      </w:r>
      <w:r>
        <w:rPr>
          <w:rFonts w:ascii="Times New Roman" w:eastAsia="Times New Roman" w:hAnsi="Times New Roman" w:cs="Times New Roman"/>
          <w:b/>
          <w:bCs/>
          <w:sz w:val="24"/>
          <w:szCs w:val="24"/>
        </w:rPr>
        <w:t xml:space="preserve">Revista </w:t>
      </w:r>
      <w:proofErr w:type="spellStart"/>
      <w:r>
        <w:rPr>
          <w:rFonts w:ascii="Times New Roman" w:eastAsia="Times New Roman" w:hAnsi="Times New Roman" w:cs="Times New Roman"/>
          <w:b/>
          <w:bCs/>
          <w:sz w:val="24"/>
          <w:szCs w:val="24"/>
        </w:rPr>
        <w:t>Sustinere</w:t>
      </w:r>
      <w:proofErr w:type="spellEnd"/>
      <w:r>
        <w:rPr>
          <w:rFonts w:ascii="Times New Roman" w:eastAsia="Times New Roman" w:hAnsi="Times New Roman" w:cs="Times New Roman"/>
          <w:sz w:val="24"/>
          <w:szCs w:val="24"/>
        </w:rPr>
        <w:t xml:space="preserve">, Rio de Janeiro, v. 10, n. 1, p. 294-307, </w:t>
      </w:r>
      <w:r>
        <w:rPr>
          <w:rFonts w:ascii="Times New Roman" w:eastAsia="Times New Roman" w:hAnsi="Times New Roman" w:cs="Times New Roman"/>
          <w:sz w:val="24"/>
          <w:szCs w:val="24"/>
        </w:rPr>
        <w:t>2022. DOI: https://doi.org/10.12957/sustinere.2022.61504. Acesso em: 18 jun. 2026.</w:t>
      </w:r>
    </w:p>
    <w:p w14:paraId="00000082"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PINTO, H. 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Percepção de profissionais da saúde e da educação sobre o Programa Saúde na Escola. </w:t>
      </w:r>
      <w:r>
        <w:rPr>
          <w:rFonts w:ascii="Times New Roman" w:eastAsia="Times New Roman" w:hAnsi="Times New Roman" w:cs="Times New Roman"/>
          <w:b/>
          <w:bCs/>
          <w:sz w:val="24"/>
          <w:szCs w:val="24"/>
        </w:rPr>
        <w:t>Saúde em Debate</w:t>
      </w:r>
      <w:r>
        <w:rPr>
          <w:rFonts w:ascii="Times New Roman" w:eastAsia="Times New Roman" w:hAnsi="Times New Roman" w:cs="Times New Roman"/>
          <w:sz w:val="24"/>
          <w:szCs w:val="24"/>
        </w:rPr>
        <w:t>, v. 46, n. spe3, nov. 2022. Disponível em: https://doi.org/10.1590/0103-11042022E307. Acesso em: 17 jun. 2026.</w:t>
      </w:r>
    </w:p>
    <w:p w14:paraId="00000083"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PRADO, N. M. B. L.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Revisitando definições e naturezas da intersetorialidade: um ensaio teórico. </w:t>
      </w:r>
      <w:r>
        <w:rPr>
          <w:rFonts w:ascii="Times New Roman" w:eastAsia="Times New Roman" w:hAnsi="Times New Roman" w:cs="Times New Roman"/>
          <w:b/>
          <w:bCs/>
          <w:sz w:val="24"/>
          <w:szCs w:val="24"/>
        </w:rPr>
        <w:t>Ciência &amp; Saúde Coletiva</w:t>
      </w:r>
      <w:r>
        <w:rPr>
          <w:rFonts w:ascii="Times New Roman" w:eastAsia="Times New Roman" w:hAnsi="Times New Roman" w:cs="Times New Roman"/>
          <w:sz w:val="24"/>
          <w:szCs w:val="24"/>
        </w:rPr>
        <w:t>, Rio de Janeiro, v. 27, n. 2, p. 593-602, fev. 2022. Disponível em:</w:t>
      </w:r>
      <w:hyperlink r:id="rId12">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https://doi.org/10.1590/1413-8123202227</w:t>
      </w:r>
      <w:r>
        <w:rPr>
          <w:rFonts w:ascii="Times New Roman" w:eastAsia="Times New Roman" w:hAnsi="Times New Roman" w:cs="Times New Roman"/>
          <w:sz w:val="24"/>
          <w:szCs w:val="24"/>
        </w:rPr>
        <w:t>2.47042020. Acesso em: 18 jun. 2026.</w:t>
      </w:r>
    </w:p>
    <w:p w14:paraId="00000084"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RUMOR, P. C. F.; HEIDEMANN, I. T. S. B.; SOUZA, J. B. de; MANFRINI, G. C.; SOUZA, J. M. de. Programa Saúde na Escola: potencialidades e limites da articulação intersetorial para promoção da saúde infantil. </w:t>
      </w:r>
      <w:r>
        <w:rPr>
          <w:rFonts w:ascii="Times New Roman" w:eastAsia="Times New Roman" w:hAnsi="Times New Roman" w:cs="Times New Roman"/>
          <w:b/>
          <w:bCs/>
          <w:sz w:val="24"/>
          <w:szCs w:val="24"/>
        </w:rPr>
        <w:t>Saúde em Deba</w:t>
      </w:r>
      <w:r>
        <w:rPr>
          <w:rFonts w:ascii="Times New Roman" w:eastAsia="Times New Roman" w:hAnsi="Times New Roman" w:cs="Times New Roman"/>
          <w:b/>
          <w:bCs/>
          <w:sz w:val="24"/>
          <w:szCs w:val="24"/>
        </w:rPr>
        <w:t>te</w:t>
      </w:r>
      <w:r>
        <w:rPr>
          <w:rFonts w:ascii="Times New Roman" w:eastAsia="Times New Roman" w:hAnsi="Times New Roman" w:cs="Times New Roman"/>
          <w:sz w:val="24"/>
          <w:szCs w:val="24"/>
        </w:rPr>
        <w:t>, Rio de Janeiro, v. 46, n. esp. 3, p. 116-128, nov. 2022. Disponível em: https://doi.org/10.1590/0103-11042022E308. Acesso em: 18 jun. 2026.</w:t>
      </w:r>
    </w:p>
    <w:p w14:paraId="00000085"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SANTOS, E. M. dos; ROGGERO, R. Os desafios de uma política pública intersetorial que atenda as questões de saúde</w:t>
      </w:r>
      <w:r>
        <w:rPr>
          <w:rFonts w:ascii="Times New Roman" w:eastAsia="Times New Roman" w:hAnsi="Times New Roman" w:cs="Times New Roman"/>
          <w:sz w:val="24"/>
          <w:szCs w:val="24"/>
        </w:rPr>
        <w:t xml:space="preserve"> dos estudantes da educação básica. </w:t>
      </w:r>
      <w:r>
        <w:rPr>
          <w:rFonts w:ascii="Times New Roman" w:eastAsia="Times New Roman" w:hAnsi="Times New Roman" w:cs="Times New Roman"/>
          <w:b/>
          <w:bCs/>
          <w:sz w:val="24"/>
          <w:szCs w:val="24"/>
        </w:rPr>
        <w:t>Jornal de Políticas Educacionais</w:t>
      </w:r>
      <w:r>
        <w:rPr>
          <w:rFonts w:ascii="Times New Roman" w:eastAsia="Times New Roman" w:hAnsi="Times New Roman" w:cs="Times New Roman"/>
          <w:sz w:val="24"/>
          <w:szCs w:val="24"/>
        </w:rPr>
        <w:t>, Curitiba, v. 18, n. 1, p. 1-19, 2024. Disponível em: https://doi.org/10.5380/jpe.v18i1.95569. Acesso em 18 jun. 2026.</w:t>
      </w:r>
    </w:p>
    <w:p w14:paraId="00000086"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SCHNEIDER, S. A.; MAGALHÃES, C. R.; ALMEIDA, A. N. Percepções de edu</w:t>
      </w:r>
      <w:r>
        <w:rPr>
          <w:rFonts w:ascii="Times New Roman" w:eastAsia="Times New Roman" w:hAnsi="Times New Roman" w:cs="Times New Roman"/>
          <w:sz w:val="24"/>
          <w:szCs w:val="24"/>
        </w:rPr>
        <w:t xml:space="preserve">cadores e profissionais de saúde sobre interdisciplinaridade no contexto do Programa Saúde na Escola. </w:t>
      </w:r>
      <w:r>
        <w:rPr>
          <w:rFonts w:ascii="Times New Roman" w:eastAsia="Times New Roman" w:hAnsi="Times New Roman" w:cs="Times New Roman"/>
          <w:b/>
          <w:bCs/>
          <w:sz w:val="24"/>
          <w:szCs w:val="24"/>
        </w:rPr>
        <w:t>Interface - Comunicação, Saúde, Educação, Botucatu</w:t>
      </w:r>
      <w:r>
        <w:rPr>
          <w:rFonts w:ascii="Times New Roman" w:eastAsia="Times New Roman" w:hAnsi="Times New Roman" w:cs="Times New Roman"/>
          <w:sz w:val="24"/>
          <w:szCs w:val="24"/>
        </w:rPr>
        <w:t>, v. 26, p. 1-17, 2022. Disponível em:</w:t>
      </w:r>
      <w:hyperlink r:id="rId13">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https://doi.org/</w:t>
      </w:r>
      <w:r>
        <w:rPr>
          <w:rFonts w:ascii="Times New Roman" w:eastAsia="Times New Roman" w:hAnsi="Times New Roman" w:cs="Times New Roman"/>
          <w:sz w:val="24"/>
          <w:szCs w:val="24"/>
        </w:rPr>
        <w:t>10.1590/interface.210191. Acesso em: 17 jun. 2026.</w:t>
      </w:r>
    </w:p>
    <w:p w14:paraId="00000087"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GAMEIRO, N.</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Programa Saúde na Escola amplia acesso ao SUS e reduz desigualdades, aponta pesquisa. Brasília, DF: </w:t>
      </w:r>
      <w:r>
        <w:rPr>
          <w:rFonts w:ascii="Times New Roman" w:eastAsia="Times New Roman" w:hAnsi="Times New Roman" w:cs="Times New Roman"/>
          <w:b/>
          <w:bCs/>
          <w:sz w:val="24"/>
          <w:szCs w:val="24"/>
        </w:rPr>
        <w:t>Fiocruz Brasília</w:t>
      </w:r>
      <w:r>
        <w:rPr>
          <w:rFonts w:ascii="Times New Roman" w:eastAsia="Times New Roman" w:hAnsi="Times New Roman" w:cs="Times New Roman"/>
          <w:sz w:val="24"/>
          <w:szCs w:val="24"/>
        </w:rPr>
        <w:t>, 2026. Disponível em:</w:t>
      </w:r>
      <w:hyperlink r:id="rId14">
        <w:r>
          <w:rPr>
            <w:rFonts w:ascii="Times New Roman" w:eastAsia="Times New Roman" w:hAnsi="Times New Roman" w:cs="Times New Roman"/>
            <w:sz w:val="24"/>
            <w:szCs w:val="24"/>
            <w:u w:val="single"/>
          </w:rPr>
          <w:t xml:space="preserve"> </w:t>
        </w:r>
      </w:hyperlink>
      <w:r>
        <w:rPr>
          <w:rFonts w:ascii="Times New Roman" w:eastAsia="Times New Roman" w:hAnsi="Times New Roman" w:cs="Times New Roman"/>
          <w:sz w:val="24"/>
          <w:szCs w:val="24"/>
        </w:rPr>
        <w:t>https://www.fiocruzbrasilia.fiocruz.br/programa-saude-na-escola-amplia-acesso-ao-sus-e-reduz-desigualdades-aponta-pesquisa/. Acesso em: 18 jun. 2026.</w:t>
      </w:r>
    </w:p>
    <w:p w14:paraId="00000088"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K. L.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Programa Saúde na Escola: desafios e possibilidades para promover saúde na perspe</w:t>
      </w:r>
      <w:r>
        <w:rPr>
          <w:rFonts w:ascii="Times New Roman" w:eastAsia="Times New Roman" w:hAnsi="Times New Roman" w:cs="Times New Roman"/>
          <w:sz w:val="24"/>
          <w:szCs w:val="24"/>
        </w:rPr>
        <w:t xml:space="preserve">ctiva da alimentação saudável. </w:t>
      </w:r>
      <w:r>
        <w:rPr>
          <w:rFonts w:ascii="Times New Roman" w:eastAsia="Times New Roman" w:hAnsi="Times New Roman" w:cs="Times New Roman"/>
          <w:b/>
          <w:bCs/>
          <w:sz w:val="24"/>
          <w:szCs w:val="24"/>
        </w:rPr>
        <w:t>Saúde em Debate</w:t>
      </w:r>
      <w:r>
        <w:rPr>
          <w:rFonts w:ascii="Times New Roman" w:eastAsia="Times New Roman" w:hAnsi="Times New Roman" w:cs="Times New Roman"/>
          <w:sz w:val="24"/>
          <w:szCs w:val="24"/>
        </w:rPr>
        <w:t>, Rio de Janeiro, 2021. Disponível em:</w:t>
      </w:r>
      <w:hyperlink r:id="rId15">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https://doi.org/10.1590/0103-11042022E318. Acesso em: 17 jun. 2026.</w:t>
      </w:r>
    </w:p>
    <w:p w14:paraId="00000089"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SILVA, V. F. Redemocratizaçã</w:t>
      </w:r>
      <w:r>
        <w:rPr>
          <w:rFonts w:ascii="Times New Roman" w:eastAsia="Times New Roman" w:hAnsi="Times New Roman" w:cs="Times New Roman"/>
          <w:sz w:val="24"/>
          <w:szCs w:val="24"/>
        </w:rPr>
        <w:t>o e a Constituição Federal de 1988: as influências autoritárias no processo de construção da nova carta magna brasileira.</w:t>
      </w:r>
      <w:r>
        <w:rPr>
          <w:rFonts w:ascii="Times New Roman" w:eastAsia="Times New Roman" w:hAnsi="Times New Roman" w:cs="Times New Roman"/>
          <w:b/>
          <w:bCs/>
          <w:sz w:val="24"/>
          <w:szCs w:val="24"/>
        </w:rPr>
        <w:t xml:space="preserve"> Cadernos PROMUSPP</w:t>
      </w:r>
      <w:r>
        <w:rPr>
          <w:rFonts w:ascii="Times New Roman" w:eastAsia="Times New Roman" w:hAnsi="Times New Roman" w:cs="Times New Roman"/>
          <w:sz w:val="24"/>
          <w:szCs w:val="24"/>
        </w:rPr>
        <w:t>, São Paulo, v. 1, n. 1, p. 38-46, out./dez. 2021. Disponível em:</w:t>
      </w:r>
      <w:hyperlink r:id="rId16">
        <w:r>
          <w:rPr>
            <w:rFonts w:ascii="Times New Roman" w:eastAsia="Times New Roman" w:hAnsi="Times New Roman" w:cs="Times New Roman"/>
            <w:sz w:val="24"/>
            <w:szCs w:val="24"/>
            <w:u w:val="single"/>
          </w:rPr>
          <w:t xml:space="preserve"> </w:t>
        </w:r>
      </w:hyperlink>
      <w:r>
        <w:rPr>
          <w:rFonts w:ascii="Times New Roman" w:eastAsia="Times New Roman" w:hAnsi="Times New Roman" w:cs="Times New Roman"/>
          <w:sz w:val="24"/>
          <w:szCs w:val="24"/>
        </w:rPr>
        <w:t>http://cadpromuspp.each.webhostusp.sti.usp.br/1/04.pdf. Acesso em: 16 jun. 2026.</w:t>
      </w:r>
    </w:p>
    <w:p w14:paraId="0000008A"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em cada 4 alunos já sofreu ataques físicos ou psicológicos dentro da escola, diz IBGE. </w:t>
      </w:r>
      <w:r>
        <w:rPr>
          <w:rFonts w:ascii="Times New Roman" w:eastAsia="Times New Roman" w:hAnsi="Times New Roman" w:cs="Times New Roman"/>
          <w:b/>
          <w:bCs/>
          <w:sz w:val="24"/>
          <w:szCs w:val="24"/>
        </w:rPr>
        <w:t>G1</w:t>
      </w:r>
      <w:r>
        <w:rPr>
          <w:rFonts w:ascii="Times New Roman" w:eastAsia="Times New Roman" w:hAnsi="Times New Roman" w:cs="Times New Roman"/>
          <w:sz w:val="24"/>
          <w:szCs w:val="24"/>
        </w:rPr>
        <w:t>, Rio de Janeiro, 25 mar. 2026. Disponível em:https://g1.glo</w:t>
      </w:r>
      <w:r>
        <w:rPr>
          <w:rFonts w:ascii="Times New Roman" w:eastAsia="Times New Roman" w:hAnsi="Times New Roman" w:cs="Times New Roman"/>
          <w:sz w:val="24"/>
          <w:szCs w:val="24"/>
        </w:rPr>
        <w:t>bo.com/jornal-nacional/noticia/2026/03/25/um-em-cada-4-alunos-ja-sofreu-ataques-fisicos-ou-psicologicos-dentro-da-escola-diz-ibge.ghtml. Acesso em: 17 jun. 2026.</w:t>
      </w:r>
    </w:p>
    <w:p w14:paraId="0000008B"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VAZQUEZ, D. A.; CAETANO, S. C.; SCHLEGEL, R.; LOURENÇO, E.; NEMI, A.; SLEMIAN, A.; SANCHEZ, Z.</w:t>
      </w:r>
      <w:r>
        <w:rPr>
          <w:rFonts w:ascii="Times New Roman" w:eastAsia="Times New Roman" w:hAnsi="Times New Roman" w:cs="Times New Roman"/>
          <w:sz w:val="24"/>
          <w:szCs w:val="24"/>
        </w:rPr>
        <w:t xml:space="preserve"> M. Vida sem escola e saúde mental dos estudantes de escolas públicas na pandemia de Covid-19. Saúde em Debate, Rio de Janeiro, v. 46, n. </w:t>
      </w:r>
      <w:r>
        <w:rPr>
          <w:rFonts w:ascii="Times New Roman" w:eastAsia="Times New Roman" w:hAnsi="Times New Roman" w:cs="Times New Roman"/>
          <w:sz w:val="24"/>
          <w:szCs w:val="24"/>
        </w:rPr>
        <w:lastRenderedPageBreak/>
        <w:t>133, p. 304-317, abr./jun. 2022. Disponível em: https://doi.org/10.1590/0103-1104202213304. Acesso em: 18 jun. 2026.</w:t>
      </w:r>
    </w:p>
    <w:p w14:paraId="0000008C" w14:textId="77777777" w:rsidR="00333B43" w:rsidRDefault="00651A03">
      <w:pPr>
        <w:pBdr>
          <w:top w:val="none" w:sz="0" w:space="0" w:color="000000"/>
          <w:left w:val="none" w:sz="0" w:space="0" w:color="000000"/>
          <w:bottom w:val="none" w:sz="0" w:space="0" w:color="000000"/>
          <w:right w:val="none" w:sz="0" w:space="0" w:color="000000"/>
          <w:between w:val="none" w:sz="0" w:space="0" w:color="000000"/>
        </w:pBd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ORLD HEALTH ORGANIZATION. </w:t>
      </w:r>
      <w:r>
        <w:rPr>
          <w:rFonts w:ascii="Times New Roman" w:eastAsia="Times New Roman" w:hAnsi="Times New Roman" w:cs="Times New Roman"/>
          <w:b/>
          <w:bCs/>
          <w:sz w:val="24"/>
          <w:szCs w:val="24"/>
        </w:rPr>
        <w:t xml:space="preserve">Ottawa Charter for Health </w:t>
      </w:r>
      <w:proofErr w:type="spellStart"/>
      <w:r>
        <w:rPr>
          <w:rFonts w:ascii="Times New Roman" w:eastAsia="Times New Roman" w:hAnsi="Times New Roman" w:cs="Times New Roman"/>
          <w:b/>
          <w:bCs/>
          <w:sz w:val="24"/>
          <w:szCs w:val="24"/>
        </w:rPr>
        <w:t>Promotion</w:t>
      </w:r>
      <w:proofErr w:type="spellEnd"/>
      <w:r>
        <w:rPr>
          <w:rFonts w:ascii="Times New Roman" w:eastAsia="Times New Roman" w:hAnsi="Times New Roman" w:cs="Times New Roman"/>
          <w:sz w:val="24"/>
          <w:szCs w:val="24"/>
        </w:rPr>
        <w:t>. Ottawa: WHO, 1986. Disponível em: https://www.who.int/teams/health-promotion/enhanced-wellbeing/first-global-conference. Acesso em: 2 jun. 2026.</w:t>
      </w:r>
    </w:p>
    <w:p w14:paraId="0000008D" w14:textId="77777777" w:rsidR="00333B43" w:rsidRDefault="00333B43">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b/>
          <w:bCs/>
          <w:sz w:val="24"/>
          <w:szCs w:val="24"/>
        </w:rPr>
      </w:pPr>
    </w:p>
    <w:sectPr w:rsidR="00333B43">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embedRegular r:id="rId1" w:fontKey="{C0176BFD-7436-4F8A-8CF9-1A8776F0A881}"/>
    <w:embedBold r:id="rId2" w:fontKey="{D306FDDD-6E21-4002-A790-A68E603037A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799BC12B-C384-4F40-93B1-09C13C32D81E}"/>
  </w:font>
  <w:font w:name="Segoe UI">
    <w:panose1 w:val="020B0502040204020203"/>
    <w:charset w:val="00"/>
    <w:family w:val="swiss"/>
    <w:pitch w:val="variable"/>
    <w:sig w:usb0="E4002EFF" w:usb1="C000E47F" w:usb2="00000009" w:usb3="00000000" w:csb0="000001FF" w:csb1="00000000"/>
    <w:embedRegular r:id="rId4" w:fontKey="{1B5FF752-5427-4DA3-AD22-B4D98F0FEC9D}"/>
  </w:font>
  <w:font w:name="Cambria">
    <w:panose1 w:val="02040503050406030204"/>
    <w:charset w:val="00"/>
    <w:family w:val="roman"/>
    <w:pitch w:val="variable"/>
    <w:sig w:usb0="E00006FF" w:usb1="420024FF" w:usb2="02000000" w:usb3="00000000" w:csb0="0000019F" w:csb1="00000000"/>
    <w:embedRegular r:id="rId5" w:fontKey="{2487571B-29D4-4B3B-A610-D95EAEE2DD2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5E2D1C"/>
    <w:multiLevelType w:val="multilevel"/>
    <w:tmpl w:val="A4E46D40"/>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B43"/>
    <w:rsid w:val="000A23EB"/>
    <w:rsid w:val="00333B43"/>
    <w:rsid w:val="00651A03"/>
    <w:rsid w:val="008B2D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FB0AA"/>
  <w15:docId w15:val="{B0469F47-EA49-4A0F-B9BA-B667CCD0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2F5496"/>
      <w:sz w:val="32"/>
      <w:szCs w:val="32"/>
    </w:rPr>
  </w:style>
  <w:style w:type="paragraph" w:styleId="Ttulo2">
    <w:name w:val="heading 2"/>
    <w:basedOn w:val="Normal"/>
    <w:next w:val="Normal"/>
    <w:uiPriority w:val="9"/>
    <w:semiHidden/>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pBdr>
        <w:top w:val="none" w:sz="0" w:space="0" w:color="000000"/>
        <w:left w:val="none" w:sz="0" w:space="0" w:color="000000"/>
        <w:bottom w:val="none" w:sz="0" w:space="0" w:color="000000"/>
        <w:right w:val="none" w:sz="0" w:space="0" w:color="000000"/>
        <w:between w:val="none" w:sz="0" w:space="0" w:color="000000"/>
      </w:pBdr>
      <w:spacing w:before="360" w:after="80"/>
    </w:pPr>
    <w:rPr>
      <w:rFonts w:ascii="Georgia" w:eastAsia="Georgia" w:hAnsi="Georgia" w:cs="Georgia"/>
      <w:i/>
      <w:iCs/>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0A23E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A23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losp.org/" TargetMode="External"/><Relationship Id="rId13" Type="http://schemas.openxmlformats.org/officeDocument/2006/relationships/hyperlink" Target="https://www.scielo.br/j/icse/"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hyperlink" Target="https://www.google.com/search?q=https://teses.usp.br/&amp;authuser=1" TargetMode="External"/><Relationship Id="rId12" Type="http://schemas.openxmlformats.org/officeDocument/2006/relationships/hyperlink" Target="https://www.scielosp.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adpromuspp.each.webhostusp.sti.usp.br/1/04.pdf"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repositorio.ufc.br/" TargetMode="External"/><Relationship Id="rId5" Type="http://schemas.openxmlformats.org/officeDocument/2006/relationships/webSettings" Target="webSettings.xml"/><Relationship Id="rId15" Type="http://schemas.openxmlformats.org/officeDocument/2006/relationships/hyperlink" Target="https://www.scielo.br/j/sdeb/a/XStjVSCzJvFMLtLDsLzgtXz/" TargetMode="External"/><Relationship Id="rId10" Type="http://schemas.openxmlformats.org/officeDocument/2006/relationships/hyperlink" Target="https://www.researchgate.net/"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agenciabrasil.ebc.com.br/" TargetMode="External"/><Relationship Id="rId14" Type="http://schemas.openxmlformats.org/officeDocument/2006/relationships/hyperlink" Target="https://www.fiocruzbrasilia.fiocruz.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QkaNtDj/hnn8ovDxaaslt6TQZA==">CgMxLjAaJwoBMBIiCiAIBCocCgtBQUFCOXU5LUJBMBAIGgtBQUFCOXU5LUJBMCL9DgoLQUFBQjl1OS1CQTAS0w4KC0FBQUI5dTktQkEwEgtBQUFCOXU5LUJBMBqvBAoJdGV4dC9odG1sEqEETUVOSU5BUywgUEFSQULDiU5TLCBHT1NURUkgRE8gVFJBQkFMSE8sIEJPTSBERVNFTlZPTFZJTUVOVE8hIEVVIE1FTEhPUklBIEFMR1VOUyBQT05UT1M6PGJyPjxicj5GQVpFUiBVTSBBUEFOSEFETyBERSBBUlRJR09TIFJFQ0VOVEVTIFNPQlJFIE8gVEVNQSwgVk9Dw4pTIFNFIFBSRU5ERVJBTSBFTSBBUlRJR09TIEFOVEVTIERFIDIwMTgsIE8gUVVFIERFSVhBIE8gVFJBQkFMSE8gREUgVk9Dw4pTIERBVEFETy4uLiBDT01PIMOJIFVNIFRFTUEgUkVDRU5URSwgw4kgTkVDRVNTw4FSSU8gVU1BIERJU0NVU1PDg08gQ09OVEVNUE9Sw4JORUEuIEZVSSBGQVpFTkRPIE9TIEFQT05UQU1FTlRPUyBBTyBMT05HTyBETyBFTlNBSU8sIE1BUyBURU0gUE9URU5DSUFMISBCT1JBIEFSUlVNQVIgRSBFTlZJQVIgQU8gU0lOR0VQPGJyPjxicj5RdWVybyBzZXIgY29hdXRvciBzZSBmb3JlbSBlbnZpYXIgcGFyYSBhbGd1bSBwZXJpw7NkaWNvLCBlIG1lIHBvbmhvIGEgZGlzcG9zacOnw6NvIHBhcmEgcmVhbGl6YXIgYSBzdWJtaXNzw6NvPGJyPjxicj48YnI+Tk9UQTogNDUvNTAimwQKCnRleHQvcGxhaW4SjARNRU5JTkFTLCBQQVJBQsOJTlMsIEdPU1RFSSBETyBUUkFCQUxITywgQk9NIERFU0VOVk9MVklNRU5UTyEgRVUgTUVMSE9SSUEgQUxHVU5TIFBPTlRPUzoKCkZBWkVSIFVNIEFQQU5IQURPIERFIEFSVElHT1MgUkVDRU5URVMgU09CUkUgTyBURU1BLCBWT0PDilMgU0UgUFJFTkRFUkFNIEVNIEFSVElHT1MgQU5URVMgREUgMjAxOCwgTyBRVUUgREVJWEEgTyBUUkFCQUxITyBERSBWT0PDilMgREFUQURPLi4uIENPTU8gw4kgVU0gVEVNQSBSRUNFTlRFLCDDiSBORUNFU1PDgVJJTyBVTUEgRElTQ1VTU8ODTyBDT05URU1QT1LDgk5FQS4gRlVJIEZBWkVORE8gT1MgQVBPTlRBTUVOVE9TIEFPIExPTkdPIERPIEVOU0FJTywgTUFTIFRFTSBQT1RFTkNJQUwhIEJPUkEgQVJSVU1BUiBFIEVOVklBUiBBTyBTSU5HRVAKClF1ZXJvIHNlciBjb2F1dG9yIHNlIGZvcmVtIGVudmlhciBwYXJhIGFsZ3VtIHBlcmnDs2RpY28sIGUgbWUgcG9uaG8gYSBkaXNwb3Npw6fDo28gcGFyYSByZWFsaXphciBhIHN1Ym1pc3PDo28KCgpOT1RBOiA0NS81MCpLChJDb250YSBkYSBNaWNyb3NvZnQaNS8vc3NsLmdzdGF0aWMuY29tL2RvY3MvY29tbW9uL2JsdWVfc2lsaG91ZXR0ZTk2LTAucG5nMICl09jsMziApdPY7DNyTQoSQ29udGEgZGEgTWljcm9zb2Z0GjcKNS8vc3NsLmdzdGF0aWMuY29tL2RvY3MvY29tbW9uL2JsdWVfc2lsaG91ZXR0ZTk2LTAucG5neACIAQGaAQYIABAAGACqAaQEEqEETUVOSU5BUywgUEFSQULDiU5TLCBHT1NURUkgRE8gVFJBQkFMSE8sIEJPTSBERVNFTlZPTFZJTUVOVE8hIEVVIE1FTEhPUklBIEFMR1VOUyBQT05UT1M6PGJyPjxicj5GQVpFUiBVTSBBUEFOSEFETyBERSBBUlRJR09TIFJFQ0VOVEVTIFNPQlJFIE8gVEVNQSwgVk9Dw4pTIFNFIFBSRU5ERVJBTSBFTSBBUlRJR09TIEFOVEVTIERFIDIwMTgsIE8gUVVFIERFSVhBIE8gVFJBQkFMSE8gREUgVk9Dw4pTIERBVEFETy4uLiBDT01PIMOJIFVNIFRFTUEgUkVDRU5URSwgw4kgTkVDRVNTw4FSSU8gVU1BIERJU0NVU1PDg08gQ09OVEVNUE9Sw4JORUEuIEZVSSBGQVpFTkRPIE9TIEFQT05UQU1FTlRPUyBBTyBMT05HTyBETyBFTlNBSU8sIE1BUyBURU0gUE9URU5DSUFMISBCT1JBIEFSUlVNQVIgRSBFTlZJQVIgQU8gU0lOR0VQPGJyPjxicj5RdWVybyBzZXIgY29hdXRvciBzZSBmb3JlbSBlbnZpYXIgcGFyYSBhbGd1bSBwZXJpw7NkaWNvLCBlIG1lIHBvbmhvIGEgZGlzcG9zacOnw6NvIHBhcmEgcmVhbGl6YXIgYSBzdWJtaXNzw6NvPGJyPjxicj48YnI+Tk9UQTogNDUvNTCwAQC4AQHIAQAYgKXT2OwzIICl09jsMzAAQghraXguY210MDIOaC5qYW55Y3p3YXgydHkyDmgudmczc3Z0N296ZXgxMg5oLmx4cGV6NGt2bXdqYjIOaC4xN2dhNndnaGNyM2gyDmguNTdtMGp5dWdqbDBqMg5oLjhuem9ucnR4YTZ0bzIOaC5iNDBxb2toMHM0MXoyDmguYjJqNWtkZ2E2anZoOABqQgo1c3VnZ2VzdElkSW1wb3J0NDdkMWY4ODItM2IxNC00ZjMyLWJmOTQtN2RkZDFjZmI1MTEzXzQSCW0xMTcxNjA4MWpCCjVzdWdnZXN0SWRJbXBvcnQ0N2QxZjg4Mi0zYjE0LTRmMzItYmY5NC03ZGRkMWNmYjUxMTNfMRIJbTExNzE2MDgxakIKNXN1Z2dlc3RJZEltcG9ydDQ3ZDFmODgyLTNiMTQtNGYzMi1iZjk0LTdkZGQxY2ZiNTExM184EgltMTE3MTYwODFyITFFd29Ed1FncktuNzc0MTlaZzV4R2JjWHgwY3BUaUNvQ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2230D36C048DA42B5B597D7A7006077" ma:contentTypeVersion="17" ma:contentTypeDescription="Crie um novo documento." ma:contentTypeScope="" ma:versionID="2b77902f318c931e5631018bf9817abb">
  <xsd:schema xmlns:xsd="http://www.w3.org/2001/XMLSchema" xmlns:xs="http://www.w3.org/2001/XMLSchema" xmlns:p="http://schemas.microsoft.com/office/2006/metadata/properties" xmlns:ns2="ee1fe255-0615-48a1-ba91-393d348c971f" xmlns:ns3="054ebd02-de20-4f3d-bcfc-d74775f94674" targetNamespace="http://schemas.microsoft.com/office/2006/metadata/properties" ma:root="true" ma:fieldsID="eac2c798558cf38cce49821b33d31573" ns2:_="" ns3:_="">
    <xsd:import namespace="ee1fe255-0615-48a1-ba91-393d348c971f"/>
    <xsd:import namespace="054ebd02-de20-4f3d-bcfc-d74775f94674"/>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element ref="ns3:MediaServiceLocation" minOccurs="0"/>
                <xsd:element ref="ns3:Nome_x0020_completo"/>
                <xsd:element ref="ns3:Link_x0020_do_x0020_Curr_x00ed_culo_x0020_Lattes" minOccurs="0"/>
                <xsd:element ref="ns3:Link_x0020_da_x0020_publica_x00e7__x00e3_o_x0020_do_x0020_TCC_x0020_no_x0020_Reposit_x00f3_rio_x0020_da_x0020_En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fe255-0615-48a1-ba91-393d348c971f"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8" nillable="true" ma:displayName="Taxonomy Catch All Column" ma:hidden="true" ma:list="{5e75a7cf-954a-478a-8da0-7542fd2a84f0}" ma:internalName="TaxCatchAll" ma:showField="CatchAllData" ma:web="ee1fe255-0615-48a1-ba91-393d348c97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4ebd02-de20-4f3d-bcfc-d74775f9467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db2b1072-0813-4abd-a7c6-700b29b2f1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ome_x0020_completo" ma:index="22" ma:displayName="Nome completo" ma:internalName="Nome_x0020_completo">
      <xsd:simpleType>
        <xsd:restriction base="dms:Text">
          <xsd:maxLength value="255"/>
        </xsd:restriction>
      </xsd:simpleType>
    </xsd:element>
    <xsd:element name="Link_x0020_do_x0020_Curr_x00ed_culo_x0020_Lattes" ma:index="23" nillable="true" ma:displayName="Link do Currículo Lattes" ma:internalName="Link_x0020_do_x0020_Curr_x00ed_culo_x0020_Lattes">
      <xsd:simpleType>
        <xsd:restriction base="dms:Text"/>
      </xsd:simpleType>
    </xsd:element>
    <xsd:element name="Link_x0020_da_x0020_publica_x00e7__x00e3_o_x0020_do_x0020_TCC_x0020_no_x0020_Reposit_x00f3_rio_x0020_da_x0020_Enap" ma:index="24" nillable="true" ma:displayName="Link da publicação do TCC no Repositório da Enap" ma:internalName="Link_x0020_da_x0020_publica_x00e7__x00e3_o_x0020_do_x0020_TCC_x0020_no_x0020_Reposit_x00f3_rio_x0020_da_x0020_Enap">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_x0020_do_x0020_Curr_x00ed_culo_x0020_Lattes xmlns="054ebd02-de20-4f3d-bcfc-d74775f94674" xsi:nil="true"/>
    <lcf76f155ced4ddcb4097134ff3c332f xmlns="054ebd02-de20-4f3d-bcfc-d74775f94674">
      <Terms xmlns="http://schemas.microsoft.com/office/infopath/2007/PartnerControls"/>
    </lcf76f155ced4ddcb4097134ff3c332f>
    <Link_x0020_da_x0020_publica_x00e7__x00e3_o_x0020_do_x0020_TCC_x0020_no_x0020_Reposit_x00f3_rio_x0020_da_x0020_Enap xmlns="054ebd02-de20-4f3d-bcfc-d74775f94674" xsi:nil="true"/>
    <TaxCatchAll xmlns="ee1fe255-0615-48a1-ba91-393d348c971f" xsi:nil="true"/>
    <Nome_x0020_completo xmlns="054ebd02-de20-4f3d-bcfc-d74775f94674"/>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B595BC-8B8C-4502-9348-805056036D64}"/>
</file>

<file path=customXml/itemProps3.xml><?xml version="1.0" encoding="utf-8"?>
<ds:datastoreItem xmlns:ds="http://schemas.openxmlformats.org/officeDocument/2006/customXml" ds:itemID="{5C8FA271-A258-4D8C-9778-EC683C7B132C}"/>
</file>

<file path=customXml/itemProps4.xml><?xml version="1.0" encoding="utf-8"?>
<ds:datastoreItem xmlns:ds="http://schemas.openxmlformats.org/officeDocument/2006/customXml" ds:itemID="{5B92DE0D-0EDF-4160-AC27-815E83082647}"/>
</file>

<file path=docProps/app.xml><?xml version="1.0" encoding="utf-8"?>
<Properties xmlns="http://schemas.openxmlformats.org/officeDocument/2006/extended-properties" xmlns:vt="http://schemas.openxmlformats.org/officeDocument/2006/docPropsVTypes">
  <Template>Normal</Template>
  <TotalTime>14</TotalTime>
  <Pages>1</Pages>
  <Words>7694</Words>
  <Characters>41551</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 de Souza Silva</cp:lastModifiedBy>
  <cp:revision>4</cp:revision>
  <dcterms:created xsi:type="dcterms:W3CDTF">2026-07-24T14:11:00Z</dcterms:created>
  <dcterms:modified xsi:type="dcterms:W3CDTF">2026-07-24T14:25:00Z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0x01010012230D36C048DA42B5B597D7A7006077</vt:lpwstr>
  </property>
  <property fmtid="{D5CDD505-2E9C-101B-9397-08002B2CF9AE}" pid="3" name="MediaServiceImageTags">
    <vt:lpwstr>MediaServiceImageTags</vt:lpwstr>
  </property>
</Properties>
</file>