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Ex4.xml" ContentType="application/vnd.ms-office.chartex+xml"/>
  <Override PartName="/word/charts/style4.xml" ContentType="application/vnd.ms-office.chartstyle+xml"/>
  <Override PartName="/word/charts/colors4.xml" ContentType="application/vnd.ms-office.chartcolorstyle+xml"/>
  <Override PartName="/word/charts/chartEx5.xml" ContentType="application/vnd.ms-office.chartex+xml"/>
  <Override PartName="/word/charts/style5.xml" ContentType="application/vnd.ms-office.chartstyle+xml"/>
  <Override PartName="/word/charts/colors5.xml" ContentType="application/vnd.ms-office.chartcolorstyle+xml"/>
  <Override PartName="/word/charts/chartEx6.xml" ContentType="application/vnd.ms-office.chartex+xml"/>
  <Override PartName="/word/charts/style6.xml" ContentType="application/vnd.ms-office.chartstyle+xml"/>
  <Override PartName="/word/charts/colors6.xml" ContentType="application/vnd.ms-office.chartcolorstyle+xml"/>
  <Override PartName="/word/charts/chartEx7.xml" ContentType="application/vnd.ms-office.chartex+xml"/>
  <Override PartName="/word/charts/style7.xml" ContentType="application/vnd.ms-office.chartstyle+xml"/>
  <Override PartName="/word/charts/colors7.xml" ContentType="application/vnd.ms-office.chartcolorstyle+xml"/>
  <Override PartName="/word/charts/chartEx8.xml" ContentType="application/vnd.ms-office.chartex+xml"/>
  <Override PartName="/word/charts/style8.xml" ContentType="application/vnd.ms-office.chartstyle+xml"/>
  <Override PartName="/word/charts/colors8.xml" ContentType="application/vnd.ms-office.chartcolorstyle+xml"/>
  <Override PartName="/word/charts/chartEx9.xml" ContentType="application/vnd.ms-office.chartex+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6DB3A" w14:textId="3036A6BE" w:rsidR="009C0A55" w:rsidRDefault="009C0A55" w:rsidP="009C0A55">
      <w:pPr>
        <w:jc w:val="center"/>
        <w:rPr>
          <w:rFonts w:ascii="Arial" w:hAnsi="Arial" w:cs="Arial"/>
        </w:rPr>
      </w:pPr>
      <w:r>
        <w:rPr>
          <w:rFonts w:ascii="Arial" w:hAnsi="Arial" w:cs="Arial"/>
        </w:rPr>
        <w:t>Laércio Marques da Afonseca Junior</w:t>
      </w:r>
    </w:p>
    <w:p w14:paraId="3BA79181" w14:textId="2685CA78" w:rsidR="009C0A55" w:rsidRDefault="009C0A55" w:rsidP="009C0A55">
      <w:pPr>
        <w:jc w:val="center"/>
        <w:rPr>
          <w:rFonts w:ascii="Arial" w:hAnsi="Arial" w:cs="Arial"/>
        </w:rPr>
      </w:pPr>
    </w:p>
    <w:p w14:paraId="75B537CE" w14:textId="442ACE59" w:rsidR="009C0A55" w:rsidRDefault="009C0A55" w:rsidP="009C0A55">
      <w:pPr>
        <w:jc w:val="center"/>
        <w:rPr>
          <w:rFonts w:ascii="Arial" w:hAnsi="Arial" w:cs="Arial"/>
        </w:rPr>
      </w:pPr>
    </w:p>
    <w:p w14:paraId="393B178E" w14:textId="2B0379A7" w:rsidR="009C0A55" w:rsidRDefault="009C0A55" w:rsidP="009C0A55">
      <w:pPr>
        <w:jc w:val="center"/>
        <w:rPr>
          <w:rFonts w:ascii="Arial" w:hAnsi="Arial" w:cs="Arial"/>
        </w:rPr>
      </w:pPr>
    </w:p>
    <w:p w14:paraId="3F5ED80E" w14:textId="34936981" w:rsidR="009C0A55" w:rsidRDefault="009C0A55" w:rsidP="009C0A55">
      <w:pPr>
        <w:jc w:val="center"/>
        <w:rPr>
          <w:rFonts w:ascii="Arial" w:hAnsi="Arial" w:cs="Arial"/>
        </w:rPr>
      </w:pPr>
    </w:p>
    <w:p w14:paraId="16433A3B" w14:textId="2C1D9E09" w:rsidR="009C0A55" w:rsidRDefault="009C0A55" w:rsidP="009C0A55">
      <w:pPr>
        <w:jc w:val="center"/>
        <w:rPr>
          <w:rFonts w:ascii="Arial" w:hAnsi="Arial" w:cs="Arial"/>
        </w:rPr>
      </w:pPr>
    </w:p>
    <w:p w14:paraId="07448661" w14:textId="6AE3F92C" w:rsidR="009C0A55" w:rsidRDefault="009C0A55" w:rsidP="009C0A55">
      <w:pPr>
        <w:jc w:val="center"/>
        <w:rPr>
          <w:rFonts w:ascii="Arial" w:hAnsi="Arial" w:cs="Arial"/>
        </w:rPr>
      </w:pPr>
    </w:p>
    <w:p w14:paraId="46DB0731" w14:textId="5BAFC687" w:rsidR="009C0A55" w:rsidRDefault="009C0A55" w:rsidP="009C0A55">
      <w:pPr>
        <w:jc w:val="center"/>
        <w:rPr>
          <w:rFonts w:ascii="Arial" w:hAnsi="Arial" w:cs="Arial"/>
        </w:rPr>
      </w:pPr>
    </w:p>
    <w:p w14:paraId="0160202F" w14:textId="5FBF5735" w:rsidR="009C0A55" w:rsidRDefault="009C0A55" w:rsidP="009C0A55">
      <w:pPr>
        <w:jc w:val="center"/>
        <w:rPr>
          <w:rFonts w:ascii="Arial" w:hAnsi="Arial" w:cs="Arial"/>
        </w:rPr>
      </w:pPr>
    </w:p>
    <w:p w14:paraId="4A816592" w14:textId="612264C2" w:rsidR="009C0A55" w:rsidRDefault="009C0A55" w:rsidP="009C0A55">
      <w:pPr>
        <w:jc w:val="center"/>
        <w:rPr>
          <w:rFonts w:ascii="Arial" w:hAnsi="Arial" w:cs="Arial"/>
        </w:rPr>
      </w:pPr>
    </w:p>
    <w:p w14:paraId="7F8054B1" w14:textId="793E11EB" w:rsidR="009C0A55" w:rsidRDefault="009C0A55" w:rsidP="009C0A55">
      <w:pPr>
        <w:jc w:val="center"/>
        <w:rPr>
          <w:rFonts w:ascii="Arial" w:hAnsi="Arial" w:cs="Arial"/>
        </w:rPr>
      </w:pPr>
    </w:p>
    <w:p w14:paraId="5D425BE1" w14:textId="55CBBC26" w:rsidR="009C0A55" w:rsidRDefault="009C0A55" w:rsidP="009C0A55">
      <w:pPr>
        <w:jc w:val="center"/>
        <w:rPr>
          <w:rFonts w:ascii="Arial" w:hAnsi="Arial" w:cs="Arial"/>
        </w:rPr>
      </w:pPr>
    </w:p>
    <w:p w14:paraId="03FDEFD9" w14:textId="3FE71CD7" w:rsidR="009C0A55" w:rsidRDefault="009C0A55" w:rsidP="009C0A55">
      <w:pPr>
        <w:jc w:val="center"/>
        <w:rPr>
          <w:rFonts w:ascii="Arial" w:hAnsi="Arial" w:cs="Arial"/>
        </w:rPr>
      </w:pPr>
    </w:p>
    <w:p w14:paraId="204A491C" w14:textId="5CE38B51" w:rsidR="009C0A55" w:rsidRDefault="009C0A55" w:rsidP="009C0A55">
      <w:pPr>
        <w:jc w:val="center"/>
        <w:rPr>
          <w:rFonts w:ascii="Arial" w:hAnsi="Arial" w:cs="Arial"/>
        </w:rPr>
      </w:pPr>
    </w:p>
    <w:p w14:paraId="20647B98" w14:textId="49E62F8A" w:rsidR="009C0A55" w:rsidRDefault="009C0A55" w:rsidP="009C0A55">
      <w:pPr>
        <w:jc w:val="center"/>
        <w:rPr>
          <w:rFonts w:ascii="Arial" w:hAnsi="Arial" w:cs="Arial"/>
        </w:rPr>
      </w:pPr>
    </w:p>
    <w:p w14:paraId="1EBA9940" w14:textId="7795F71A" w:rsidR="009C0A55" w:rsidRDefault="009C0A55" w:rsidP="009C0A55">
      <w:pPr>
        <w:jc w:val="center"/>
        <w:rPr>
          <w:rFonts w:ascii="Arial" w:hAnsi="Arial" w:cs="Arial"/>
        </w:rPr>
      </w:pPr>
    </w:p>
    <w:p w14:paraId="4F358BE4" w14:textId="544495F3" w:rsidR="009C0A55" w:rsidRDefault="009C0A55" w:rsidP="009C0A55">
      <w:pPr>
        <w:jc w:val="center"/>
        <w:rPr>
          <w:rFonts w:ascii="Arial" w:hAnsi="Arial" w:cs="Arial"/>
        </w:rPr>
      </w:pPr>
    </w:p>
    <w:p w14:paraId="6639693C" w14:textId="43871A75" w:rsidR="009C0A55" w:rsidRDefault="009C0A55" w:rsidP="009C0A55">
      <w:pPr>
        <w:jc w:val="center"/>
        <w:rPr>
          <w:rFonts w:ascii="Arial" w:hAnsi="Arial" w:cs="Arial"/>
        </w:rPr>
      </w:pPr>
    </w:p>
    <w:p w14:paraId="310ED76B" w14:textId="216AE057" w:rsidR="009C0A55" w:rsidRDefault="009C0A55" w:rsidP="009C0A55">
      <w:pPr>
        <w:jc w:val="center"/>
        <w:rPr>
          <w:rFonts w:ascii="Arial" w:hAnsi="Arial" w:cs="Arial"/>
        </w:rPr>
      </w:pPr>
    </w:p>
    <w:p w14:paraId="1C2D337D" w14:textId="0D1CF9A3" w:rsidR="009C0A55" w:rsidRDefault="009C0A55" w:rsidP="009C0A55">
      <w:pPr>
        <w:jc w:val="center"/>
        <w:rPr>
          <w:rFonts w:ascii="Arial" w:hAnsi="Arial" w:cs="Arial"/>
        </w:rPr>
      </w:pPr>
    </w:p>
    <w:p w14:paraId="2BA190AC" w14:textId="1198B32C" w:rsidR="009C0A55" w:rsidRDefault="00271E5F" w:rsidP="009C0A55">
      <w:pPr>
        <w:spacing w:line="276" w:lineRule="auto"/>
        <w:jc w:val="center"/>
        <w:rPr>
          <w:rFonts w:ascii="Arial" w:hAnsi="Arial" w:cs="Arial"/>
          <w:b/>
        </w:rPr>
      </w:pPr>
      <w:r w:rsidRPr="009C0A55">
        <w:rPr>
          <w:rFonts w:ascii="Arial" w:hAnsi="Arial" w:cs="Arial"/>
          <w:b/>
        </w:rPr>
        <w:t>DESCENTRALIZAÇÃO FISCAL E O CRESCIMENTO ECONÔMICO DOS ESTADOS BRASILEIROS</w:t>
      </w:r>
    </w:p>
    <w:p w14:paraId="30654C46" w14:textId="392BDF1D" w:rsidR="009C0A55" w:rsidRDefault="009C0A55" w:rsidP="009C0A55">
      <w:pPr>
        <w:spacing w:line="276" w:lineRule="auto"/>
        <w:jc w:val="center"/>
        <w:rPr>
          <w:rFonts w:ascii="Arial" w:hAnsi="Arial" w:cs="Arial"/>
        </w:rPr>
      </w:pPr>
    </w:p>
    <w:p w14:paraId="631B3286" w14:textId="256E3A77" w:rsidR="009C0A55" w:rsidRDefault="009C0A55" w:rsidP="009C0A55">
      <w:pPr>
        <w:spacing w:line="276" w:lineRule="auto"/>
        <w:jc w:val="center"/>
        <w:rPr>
          <w:rFonts w:ascii="Arial" w:hAnsi="Arial" w:cs="Arial"/>
        </w:rPr>
      </w:pPr>
    </w:p>
    <w:p w14:paraId="47C644F2" w14:textId="1C4FD6B3" w:rsidR="009C0A55" w:rsidRDefault="009C0A55" w:rsidP="009C0A55">
      <w:pPr>
        <w:spacing w:line="276" w:lineRule="auto"/>
        <w:jc w:val="center"/>
        <w:rPr>
          <w:rFonts w:ascii="Arial" w:hAnsi="Arial" w:cs="Arial"/>
        </w:rPr>
      </w:pPr>
    </w:p>
    <w:p w14:paraId="3DEC6240" w14:textId="30820732" w:rsidR="009C0A55" w:rsidRDefault="009C0A55" w:rsidP="009C0A55">
      <w:pPr>
        <w:spacing w:line="276" w:lineRule="auto"/>
        <w:jc w:val="center"/>
        <w:rPr>
          <w:rFonts w:ascii="Arial" w:hAnsi="Arial" w:cs="Arial"/>
        </w:rPr>
      </w:pPr>
    </w:p>
    <w:p w14:paraId="075AC9C2" w14:textId="40FABA9E" w:rsidR="009C0A55" w:rsidRDefault="009C0A55" w:rsidP="009C0A55">
      <w:pPr>
        <w:spacing w:line="276" w:lineRule="auto"/>
        <w:jc w:val="center"/>
        <w:rPr>
          <w:rFonts w:ascii="Arial" w:hAnsi="Arial" w:cs="Arial"/>
        </w:rPr>
      </w:pPr>
    </w:p>
    <w:p w14:paraId="6DD62081" w14:textId="4AA9DE49" w:rsidR="009C0A55" w:rsidRDefault="009C0A55" w:rsidP="009C0A55">
      <w:pPr>
        <w:spacing w:line="276" w:lineRule="auto"/>
        <w:jc w:val="center"/>
        <w:rPr>
          <w:rFonts w:ascii="Arial" w:hAnsi="Arial" w:cs="Arial"/>
        </w:rPr>
      </w:pPr>
    </w:p>
    <w:p w14:paraId="71C1863C" w14:textId="2847A555" w:rsidR="009C0A55" w:rsidRDefault="009C0A55" w:rsidP="009C0A55">
      <w:pPr>
        <w:spacing w:line="276" w:lineRule="auto"/>
        <w:jc w:val="center"/>
        <w:rPr>
          <w:rFonts w:ascii="Arial" w:hAnsi="Arial" w:cs="Arial"/>
        </w:rPr>
      </w:pPr>
    </w:p>
    <w:p w14:paraId="5F9E7955" w14:textId="5DA18858" w:rsidR="009C0A55" w:rsidRDefault="009C0A55" w:rsidP="009C0A55">
      <w:pPr>
        <w:spacing w:line="276" w:lineRule="auto"/>
        <w:jc w:val="center"/>
        <w:rPr>
          <w:rFonts w:ascii="Arial" w:hAnsi="Arial" w:cs="Arial"/>
        </w:rPr>
      </w:pPr>
    </w:p>
    <w:p w14:paraId="18F88957" w14:textId="11B97B44" w:rsidR="009C0A55" w:rsidRDefault="009C0A55" w:rsidP="009C0A55">
      <w:pPr>
        <w:spacing w:line="276" w:lineRule="auto"/>
        <w:jc w:val="center"/>
        <w:rPr>
          <w:rFonts w:ascii="Arial" w:hAnsi="Arial" w:cs="Arial"/>
        </w:rPr>
      </w:pPr>
    </w:p>
    <w:p w14:paraId="13BA9D13" w14:textId="79288C4F" w:rsidR="009C0A55" w:rsidRDefault="009C0A55" w:rsidP="009C0A55">
      <w:pPr>
        <w:spacing w:line="276" w:lineRule="auto"/>
        <w:jc w:val="center"/>
        <w:rPr>
          <w:rFonts w:ascii="Arial" w:hAnsi="Arial" w:cs="Arial"/>
        </w:rPr>
      </w:pPr>
    </w:p>
    <w:p w14:paraId="239BAB90" w14:textId="26116657" w:rsidR="009C0A55" w:rsidRDefault="009C0A55" w:rsidP="009C0A55">
      <w:pPr>
        <w:spacing w:line="276" w:lineRule="auto"/>
        <w:jc w:val="center"/>
        <w:rPr>
          <w:rFonts w:ascii="Arial" w:hAnsi="Arial" w:cs="Arial"/>
        </w:rPr>
      </w:pPr>
    </w:p>
    <w:p w14:paraId="048FE5D6" w14:textId="1F70E822" w:rsidR="009C0A55" w:rsidRDefault="009C0A55" w:rsidP="009C0A55">
      <w:pPr>
        <w:spacing w:line="276" w:lineRule="auto"/>
        <w:jc w:val="center"/>
        <w:rPr>
          <w:rFonts w:ascii="Arial" w:hAnsi="Arial" w:cs="Arial"/>
        </w:rPr>
      </w:pPr>
    </w:p>
    <w:p w14:paraId="49862C54" w14:textId="3B5F7366" w:rsidR="009C0A55" w:rsidRDefault="009C0A55" w:rsidP="009C0A55">
      <w:pPr>
        <w:spacing w:line="276" w:lineRule="auto"/>
        <w:jc w:val="center"/>
        <w:rPr>
          <w:rFonts w:ascii="Arial" w:hAnsi="Arial" w:cs="Arial"/>
        </w:rPr>
      </w:pPr>
    </w:p>
    <w:p w14:paraId="57DAE493" w14:textId="037FB10D" w:rsidR="009C0A55" w:rsidRDefault="009C0A55" w:rsidP="009C0A55">
      <w:pPr>
        <w:spacing w:line="276" w:lineRule="auto"/>
        <w:jc w:val="center"/>
        <w:rPr>
          <w:rFonts w:ascii="Arial" w:hAnsi="Arial" w:cs="Arial"/>
        </w:rPr>
      </w:pPr>
    </w:p>
    <w:p w14:paraId="54B7E470" w14:textId="2DC376AE" w:rsidR="009C0A55" w:rsidRDefault="009C0A55" w:rsidP="009C0A55">
      <w:pPr>
        <w:spacing w:line="276" w:lineRule="auto"/>
        <w:jc w:val="center"/>
        <w:rPr>
          <w:rFonts w:ascii="Arial" w:hAnsi="Arial" w:cs="Arial"/>
        </w:rPr>
      </w:pPr>
    </w:p>
    <w:p w14:paraId="3EACAA75" w14:textId="01141BA8" w:rsidR="009C0A55" w:rsidRDefault="009C0A55" w:rsidP="009C0A55">
      <w:pPr>
        <w:spacing w:line="276" w:lineRule="auto"/>
        <w:jc w:val="center"/>
        <w:rPr>
          <w:rFonts w:ascii="Arial" w:hAnsi="Arial" w:cs="Arial"/>
        </w:rPr>
      </w:pPr>
    </w:p>
    <w:p w14:paraId="7B75A4A4" w14:textId="6B3A12A6" w:rsidR="009C0A55" w:rsidRDefault="009C0A55" w:rsidP="009C0A55">
      <w:pPr>
        <w:spacing w:line="276" w:lineRule="auto"/>
        <w:jc w:val="center"/>
        <w:rPr>
          <w:rFonts w:ascii="Arial" w:hAnsi="Arial" w:cs="Arial"/>
        </w:rPr>
      </w:pPr>
    </w:p>
    <w:p w14:paraId="2DEA656A" w14:textId="144157C5" w:rsidR="009C0A55" w:rsidRDefault="009C0A55" w:rsidP="009C0A55">
      <w:pPr>
        <w:spacing w:line="276" w:lineRule="auto"/>
        <w:jc w:val="center"/>
        <w:rPr>
          <w:rFonts w:ascii="Arial" w:hAnsi="Arial" w:cs="Arial"/>
        </w:rPr>
      </w:pPr>
    </w:p>
    <w:p w14:paraId="29D0E640" w14:textId="4E1DFC3E" w:rsidR="009C0A55" w:rsidRDefault="009C0A55" w:rsidP="009C0A55">
      <w:pPr>
        <w:spacing w:line="276" w:lineRule="auto"/>
        <w:jc w:val="center"/>
        <w:rPr>
          <w:rFonts w:ascii="Arial" w:hAnsi="Arial" w:cs="Arial"/>
        </w:rPr>
      </w:pPr>
    </w:p>
    <w:p w14:paraId="6F62ABF0" w14:textId="6DFC64E0" w:rsidR="009C0A55" w:rsidRPr="009C0A55" w:rsidRDefault="009C0A55" w:rsidP="009C0A55">
      <w:pPr>
        <w:spacing w:line="276" w:lineRule="auto"/>
        <w:jc w:val="center"/>
        <w:rPr>
          <w:rFonts w:ascii="Arial" w:hAnsi="Arial" w:cs="Arial"/>
          <w:b/>
        </w:rPr>
      </w:pPr>
      <w:r w:rsidRPr="009C0A55">
        <w:rPr>
          <w:rFonts w:ascii="Arial" w:hAnsi="Arial" w:cs="Arial"/>
          <w:b/>
        </w:rPr>
        <w:lastRenderedPageBreak/>
        <w:t>Brasília - DF</w:t>
      </w:r>
    </w:p>
    <w:p w14:paraId="22AE476C" w14:textId="28A2C161" w:rsidR="009C0A55" w:rsidRPr="009C0A55" w:rsidRDefault="009C0A55" w:rsidP="009C0A55">
      <w:pPr>
        <w:spacing w:line="276" w:lineRule="auto"/>
        <w:jc w:val="center"/>
        <w:rPr>
          <w:rFonts w:ascii="Arial" w:hAnsi="Arial" w:cs="Arial"/>
          <w:b/>
        </w:rPr>
      </w:pPr>
      <w:r w:rsidRPr="009C0A55">
        <w:rPr>
          <w:rFonts w:ascii="Arial" w:hAnsi="Arial" w:cs="Arial"/>
          <w:b/>
        </w:rPr>
        <w:t>2019</w:t>
      </w:r>
    </w:p>
    <w:p w14:paraId="661FD562" w14:textId="1B68919C" w:rsidR="009C0A55" w:rsidRPr="00AC0818" w:rsidRDefault="009C0A55" w:rsidP="009C0A55">
      <w:pPr>
        <w:rPr>
          <w:rFonts w:ascii="Arial" w:hAnsi="Arial" w:cs="Arial"/>
        </w:rPr>
        <w:sectPr w:rsidR="009C0A55" w:rsidRPr="00AC0818" w:rsidSect="003A04CB">
          <w:headerReference w:type="default" r:id="rId8"/>
          <w:pgSz w:w="11900" w:h="16840"/>
          <w:pgMar w:top="1417" w:right="1701" w:bottom="1417" w:left="1701" w:header="708" w:footer="708" w:gutter="0"/>
          <w:cols w:space="708"/>
          <w:docGrid w:linePitch="360"/>
        </w:sectPr>
      </w:pPr>
    </w:p>
    <w:p w14:paraId="777D903C" w14:textId="77777777" w:rsidR="00271E5F" w:rsidRDefault="00271E5F">
      <w:pPr>
        <w:rPr>
          <w:rFonts w:ascii="Arial" w:hAnsi="Arial" w:cs="Arial"/>
          <w:b/>
          <w:lang w:val="en-US"/>
        </w:rPr>
      </w:pPr>
      <w:r>
        <w:rPr>
          <w:rFonts w:ascii="Arial" w:hAnsi="Arial" w:cs="Arial"/>
          <w:b/>
          <w:lang w:val="en-US"/>
        </w:rPr>
        <w:br w:type="page"/>
      </w:r>
    </w:p>
    <w:p w14:paraId="3A92ACFB" w14:textId="77777777" w:rsidR="00271E5F" w:rsidRDefault="00271E5F" w:rsidP="00271E5F">
      <w:pPr>
        <w:rPr>
          <w:rFonts w:ascii="Arial" w:hAnsi="Arial" w:cs="Arial"/>
          <w:b/>
          <w:lang w:val="en-US"/>
        </w:rPr>
      </w:pPr>
    </w:p>
    <w:p w14:paraId="14D2F79D" w14:textId="77777777" w:rsidR="00271E5F" w:rsidRDefault="00271E5F" w:rsidP="00271E5F">
      <w:pPr>
        <w:rPr>
          <w:rFonts w:ascii="Arial" w:hAnsi="Arial" w:cs="Arial"/>
          <w:b/>
          <w:lang w:val="en-US"/>
        </w:rPr>
      </w:pPr>
    </w:p>
    <w:p w14:paraId="3ABC3613" w14:textId="77777777" w:rsidR="00271E5F" w:rsidRDefault="00271E5F" w:rsidP="00271E5F">
      <w:pPr>
        <w:rPr>
          <w:rFonts w:ascii="Arial" w:hAnsi="Arial" w:cs="Arial"/>
          <w:b/>
          <w:lang w:val="en-US"/>
        </w:rPr>
      </w:pPr>
    </w:p>
    <w:p w14:paraId="31BBFE34" w14:textId="77777777" w:rsidR="00271E5F" w:rsidRDefault="00271E5F" w:rsidP="00271E5F">
      <w:pPr>
        <w:jc w:val="center"/>
        <w:rPr>
          <w:rFonts w:ascii="Arial" w:hAnsi="Arial" w:cs="Arial"/>
          <w:lang w:val="en-US"/>
        </w:rPr>
      </w:pPr>
      <w:r>
        <w:rPr>
          <w:rFonts w:ascii="Arial" w:hAnsi="Arial" w:cs="Arial"/>
          <w:lang w:val="en-US"/>
        </w:rPr>
        <w:t>LAÉRCIO MARQUES DA AFONSECA JUNIOR</w:t>
      </w:r>
    </w:p>
    <w:p w14:paraId="59D3689B" w14:textId="77777777" w:rsidR="00271E5F" w:rsidRDefault="00271E5F" w:rsidP="00271E5F">
      <w:pPr>
        <w:jc w:val="center"/>
        <w:rPr>
          <w:rFonts w:ascii="Arial" w:hAnsi="Arial" w:cs="Arial"/>
          <w:lang w:val="en-US"/>
        </w:rPr>
      </w:pPr>
    </w:p>
    <w:p w14:paraId="077F91BC" w14:textId="77777777" w:rsidR="00271E5F" w:rsidRDefault="00271E5F" w:rsidP="00271E5F">
      <w:pPr>
        <w:jc w:val="center"/>
        <w:rPr>
          <w:rFonts w:ascii="Arial" w:hAnsi="Arial" w:cs="Arial"/>
          <w:lang w:val="en-US"/>
        </w:rPr>
      </w:pPr>
    </w:p>
    <w:p w14:paraId="4BF146FA" w14:textId="77777777" w:rsidR="00271E5F" w:rsidRDefault="00271E5F" w:rsidP="00271E5F">
      <w:pPr>
        <w:jc w:val="center"/>
        <w:rPr>
          <w:rFonts w:ascii="Arial" w:hAnsi="Arial" w:cs="Arial"/>
          <w:lang w:val="en-US"/>
        </w:rPr>
      </w:pPr>
    </w:p>
    <w:p w14:paraId="7267C8AA" w14:textId="77777777" w:rsidR="00271E5F" w:rsidRDefault="00271E5F" w:rsidP="00271E5F">
      <w:pPr>
        <w:jc w:val="center"/>
        <w:rPr>
          <w:rFonts w:ascii="Arial" w:hAnsi="Arial" w:cs="Arial"/>
          <w:lang w:val="en-US"/>
        </w:rPr>
      </w:pPr>
    </w:p>
    <w:p w14:paraId="54E769D7" w14:textId="77777777" w:rsidR="00271E5F" w:rsidRDefault="00271E5F" w:rsidP="00271E5F">
      <w:pPr>
        <w:jc w:val="center"/>
        <w:rPr>
          <w:rFonts w:ascii="Arial" w:hAnsi="Arial" w:cs="Arial"/>
          <w:lang w:val="en-US"/>
        </w:rPr>
      </w:pPr>
    </w:p>
    <w:p w14:paraId="042D1503" w14:textId="77777777" w:rsidR="00271E5F" w:rsidRDefault="00271E5F" w:rsidP="00271E5F">
      <w:pPr>
        <w:jc w:val="center"/>
        <w:rPr>
          <w:rFonts w:ascii="Arial" w:hAnsi="Arial" w:cs="Arial"/>
          <w:lang w:val="en-US"/>
        </w:rPr>
      </w:pPr>
    </w:p>
    <w:p w14:paraId="1E6DEC19" w14:textId="77777777" w:rsidR="00271E5F" w:rsidRDefault="00271E5F" w:rsidP="00271E5F">
      <w:pPr>
        <w:jc w:val="center"/>
        <w:rPr>
          <w:rFonts w:ascii="Arial" w:hAnsi="Arial" w:cs="Arial"/>
          <w:lang w:val="en-US"/>
        </w:rPr>
      </w:pPr>
    </w:p>
    <w:p w14:paraId="0443AB14" w14:textId="77777777" w:rsidR="00271E5F" w:rsidRDefault="00271E5F" w:rsidP="00271E5F">
      <w:pPr>
        <w:jc w:val="center"/>
        <w:rPr>
          <w:rFonts w:ascii="Arial" w:hAnsi="Arial" w:cs="Arial"/>
          <w:lang w:val="en-US"/>
        </w:rPr>
      </w:pPr>
    </w:p>
    <w:p w14:paraId="25A3CEFA" w14:textId="77777777" w:rsidR="00271E5F" w:rsidRDefault="00271E5F" w:rsidP="00271E5F">
      <w:pPr>
        <w:jc w:val="center"/>
        <w:rPr>
          <w:rFonts w:ascii="Arial" w:hAnsi="Arial" w:cs="Arial"/>
          <w:lang w:val="en-US"/>
        </w:rPr>
      </w:pPr>
    </w:p>
    <w:p w14:paraId="1F1D5FD1" w14:textId="77777777" w:rsidR="00271E5F" w:rsidRDefault="00271E5F" w:rsidP="00271E5F">
      <w:pPr>
        <w:jc w:val="center"/>
        <w:rPr>
          <w:rFonts w:ascii="Arial" w:hAnsi="Arial" w:cs="Arial"/>
          <w:lang w:val="en-US"/>
        </w:rPr>
      </w:pPr>
    </w:p>
    <w:p w14:paraId="01F09EBF" w14:textId="77777777" w:rsidR="00271E5F" w:rsidRDefault="00271E5F" w:rsidP="00271E5F">
      <w:pPr>
        <w:jc w:val="center"/>
        <w:rPr>
          <w:rFonts w:ascii="Arial" w:hAnsi="Arial" w:cs="Arial"/>
          <w:lang w:val="en-US"/>
        </w:rPr>
      </w:pPr>
    </w:p>
    <w:p w14:paraId="2A336DD6" w14:textId="77777777" w:rsidR="00271E5F" w:rsidRDefault="00271E5F" w:rsidP="00271E5F">
      <w:pPr>
        <w:jc w:val="center"/>
        <w:rPr>
          <w:rFonts w:ascii="Arial" w:hAnsi="Arial" w:cs="Arial"/>
          <w:lang w:val="en-US"/>
        </w:rPr>
      </w:pPr>
    </w:p>
    <w:p w14:paraId="118BE533" w14:textId="77777777" w:rsidR="00271E5F" w:rsidRDefault="00271E5F" w:rsidP="00271E5F">
      <w:pPr>
        <w:jc w:val="center"/>
        <w:rPr>
          <w:rFonts w:ascii="Arial" w:hAnsi="Arial" w:cs="Arial"/>
          <w:lang w:val="en-US"/>
        </w:rPr>
      </w:pPr>
    </w:p>
    <w:p w14:paraId="6953DEC5" w14:textId="77777777" w:rsidR="00271E5F" w:rsidRDefault="00271E5F" w:rsidP="00271E5F">
      <w:pPr>
        <w:jc w:val="center"/>
        <w:rPr>
          <w:rFonts w:ascii="Arial" w:hAnsi="Arial" w:cs="Arial"/>
          <w:lang w:val="en-US"/>
        </w:rPr>
      </w:pPr>
      <w:r>
        <w:rPr>
          <w:rFonts w:ascii="Arial" w:hAnsi="Arial" w:cs="Arial"/>
          <w:lang w:val="en-US"/>
        </w:rPr>
        <w:t>DESCENTRALIZAÇÃO FISCLA E O CRECIMENTO ECONÔMICO DOS ESTADOS BRASILEIROS</w:t>
      </w:r>
    </w:p>
    <w:p w14:paraId="04938A5C" w14:textId="77777777" w:rsidR="00271E5F" w:rsidRDefault="00271E5F" w:rsidP="00271E5F">
      <w:pPr>
        <w:jc w:val="center"/>
        <w:rPr>
          <w:rFonts w:ascii="Arial" w:hAnsi="Arial" w:cs="Arial"/>
          <w:lang w:val="en-US"/>
        </w:rPr>
      </w:pPr>
    </w:p>
    <w:p w14:paraId="5E8ABCBB" w14:textId="77777777" w:rsidR="00271E5F" w:rsidRDefault="00271E5F" w:rsidP="00271E5F">
      <w:pPr>
        <w:jc w:val="center"/>
        <w:rPr>
          <w:rFonts w:ascii="Arial" w:hAnsi="Arial" w:cs="Arial"/>
          <w:lang w:val="en-US"/>
        </w:rPr>
      </w:pPr>
    </w:p>
    <w:p w14:paraId="7971D316" w14:textId="77777777" w:rsidR="00271E5F" w:rsidRDefault="00271E5F" w:rsidP="00271E5F">
      <w:pPr>
        <w:jc w:val="center"/>
        <w:rPr>
          <w:rFonts w:ascii="Arial" w:hAnsi="Arial" w:cs="Arial"/>
          <w:lang w:val="en-US"/>
        </w:rPr>
      </w:pPr>
    </w:p>
    <w:p w14:paraId="289657B5" w14:textId="77777777" w:rsidR="00271E5F" w:rsidRDefault="00271E5F" w:rsidP="00271E5F">
      <w:pPr>
        <w:jc w:val="center"/>
        <w:rPr>
          <w:rFonts w:ascii="Arial" w:hAnsi="Arial" w:cs="Arial"/>
          <w:lang w:val="en-US"/>
        </w:rPr>
      </w:pPr>
    </w:p>
    <w:p w14:paraId="2A2F9C0F" w14:textId="77777777" w:rsidR="00271E5F" w:rsidRDefault="00271E5F" w:rsidP="00271E5F">
      <w:pPr>
        <w:jc w:val="center"/>
        <w:rPr>
          <w:rFonts w:ascii="Arial" w:hAnsi="Arial" w:cs="Arial"/>
          <w:lang w:val="en-US"/>
        </w:rPr>
      </w:pPr>
    </w:p>
    <w:p w14:paraId="562261B3" w14:textId="77777777" w:rsidR="00271E5F" w:rsidRDefault="00271E5F" w:rsidP="00271E5F">
      <w:pPr>
        <w:jc w:val="center"/>
        <w:rPr>
          <w:rFonts w:ascii="Arial" w:hAnsi="Arial" w:cs="Arial"/>
          <w:lang w:val="en-US"/>
        </w:rPr>
      </w:pPr>
    </w:p>
    <w:p w14:paraId="42160924" w14:textId="77777777" w:rsidR="00271E5F" w:rsidRDefault="00271E5F" w:rsidP="00271E5F">
      <w:pPr>
        <w:jc w:val="center"/>
        <w:rPr>
          <w:rFonts w:ascii="Arial" w:hAnsi="Arial" w:cs="Arial"/>
          <w:lang w:val="en-US"/>
        </w:rPr>
      </w:pPr>
    </w:p>
    <w:p w14:paraId="7C63F81A" w14:textId="77777777" w:rsidR="003911D7" w:rsidRPr="003911D7" w:rsidRDefault="00271E5F" w:rsidP="00271E5F">
      <w:pPr>
        <w:ind w:left="4535"/>
        <w:jc w:val="both"/>
        <w:rPr>
          <w:rFonts w:ascii="Arial" w:hAnsi="Arial" w:cs="Arial"/>
        </w:rPr>
      </w:pPr>
      <w:r w:rsidRPr="003911D7">
        <w:rPr>
          <w:rFonts w:ascii="Arial" w:hAnsi="Arial" w:cs="Arial"/>
        </w:rPr>
        <w:t>Monografia apresentada ao curso de especialização em Finanças Públicas da Escola Nacional de Administração Pública – ENAP, como requisito parcial para obtenção do Título de Especialista em Finanças Públicas</w:t>
      </w:r>
      <w:r w:rsidR="003911D7" w:rsidRPr="003911D7">
        <w:rPr>
          <w:rFonts w:ascii="Arial" w:hAnsi="Arial" w:cs="Arial"/>
        </w:rPr>
        <w:t>.</w:t>
      </w:r>
    </w:p>
    <w:p w14:paraId="704778CB" w14:textId="77777777" w:rsidR="003911D7" w:rsidRPr="003911D7" w:rsidRDefault="003911D7" w:rsidP="00271E5F">
      <w:pPr>
        <w:ind w:left="4535"/>
        <w:jc w:val="both"/>
        <w:rPr>
          <w:rFonts w:ascii="Arial" w:hAnsi="Arial" w:cs="Arial"/>
        </w:rPr>
      </w:pPr>
    </w:p>
    <w:p w14:paraId="7A2F31CB" w14:textId="6D163D13" w:rsidR="003911D7" w:rsidRPr="003911D7" w:rsidRDefault="003911D7" w:rsidP="00271E5F">
      <w:pPr>
        <w:ind w:left="4535"/>
        <w:jc w:val="both"/>
        <w:rPr>
          <w:rFonts w:ascii="Arial" w:hAnsi="Arial" w:cs="Arial"/>
        </w:rPr>
      </w:pPr>
      <w:r w:rsidRPr="003911D7">
        <w:rPr>
          <w:rFonts w:ascii="Arial" w:hAnsi="Arial" w:cs="Arial"/>
        </w:rPr>
        <w:t xml:space="preserve">Orientador: Prof. </w:t>
      </w:r>
      <w:proofErr w:type="spellStart"/>
      <w:r w:rsidRPr="003911D7">
        <w:rPr>
          <w:rFonts w:ascii="Arial" w:hAnsi="Arial" w:cs="Arial"/>
        </w:rPr>
        <w:t>Dr</w:t>
      </w:r>
      <w:proofErr w:type="spellEnd"/>
      <w:r w:rsidRPr="003911D7">
        <w:rPr>
          <w:rFonts w:ascii="Arial" w:hAnsi="Arial" w:cs="Arial"/>
        </w:rPr>
        <w:t xml:space="preserve"> </w:t>
      </w:r>
      <w:r w:rsidRPr="003911D7">
        <w:rPr>
          <w:rFonts w:ascii="Arial" w:hAnsi="Arial" w:cs="Arial"/>
        </w:rPr>
        <w:t>Sérgio Ricardo de Brito Gadelha</w:t>
      </w:r>
    </w:p>
    <w:p w14:paraId="092606B2" w14:textId="77777777" w:rsidR="003911D7" w:rsidRDefault="003911D7" w:rsidP="003911D7">
      <w:pPr>
        <w:jc w:val="center"/>
        <w:rPr>
          <w:rFonts w:ascii="Arial" w:hAnsi="Arial" w:cs="Arial"/>
          <w:lang w:val="en-US"/>
        </w:rPr>
      </w:pPr>
    </w:p>
    <w:p w14:paraId="0D1F55C8" w14:textId="77777777" w:rsidR="003911D7" w:rsidRDefault="003911D7" w:rsidP="003911D7">
      <w:pPr>
        <w:jc w:val="center"/>
        <w:rPr>
          <w:rFonts w:ascii="Arial" w:hAnsi="Arial" w:cs="Arial"/>
          <w:lang w:val="en-US"/>
        </w:rPr>
      </w:pPr>
    </w:p>
    <w:p w14:paraId="28098363" w14:textId="77777777" w:rsidR="003911D7" w:rsidRDefault="003911D7" w:rsidP="003911D7">
      <w:pPr>
        <w:jc w:val="center"/>
        <w:rPr>
          <w:rFonts w:ascii="Arial" w:hAnsi="Arial" w:cs="Arial"/>
          <w:lang w:val="en-US"/>
        </w:rPr>
      </w:pPr>
    </w:p>
    <w:p w14:paraId="3D14EB9D" w14:textId="77777777" w:rsidR="003911D7" w:rsidRDefault="003911D7" w:rsidP="003911D7">
      <w:pPr>
        <w:jc w:val="center"/>
        <w:rPr>
          <w:rFonts w:ascii="Arial" w:hAnsi="Arial" w:cs="Arial"/>
          <w:lang w:val="en-US"/>
        </w:rPr>
      </w:pPr>
    </w:p>
    <w:p w14:paraId="1AF985DB" w14:textId="77777777" w:rsidR="003911D7" w:rsidRDefault="003911D7" w:rsidP="003911D7">
      <w:pPr>
        <w:jc w:val="center"/>
        <w:rPr>
          <w:rFonts w:ascii="Arial" w:hAnsi="Arial" w:cs="Arial"/>
          <w:lang w:val="en-US"/>
        </w:rPr>
      </w:pPr>
    </w:p>
    <w:p w14:paraId="5FDF815E" w14:textId="77777777" w:rsidR="003911D7" w:rsidRDefault="003911D7" w:rsidP="003911D7">
      <w:pPr>
        <w:jc w:val="center"/>
        <w:rPr>
          <w:rFonts w:ascii="Arial" w:hAnsi="Arial" w:cs="Arial"/>
          <w:lang w:val="en-US"/>
        </w:rPr>
      </w:pPr>
    </w:p>
    <w:p w14:paraId="7BDB4FD2" w14:textId="77777777" w:rsidR="003911D7" w:rsidRDefault="003911D7" w:rsidP="003911D7">
      <w:pPr>
        <w:jc w:val="center"/>
        <w:rPr>
          <w:rFonts w:ascii="Arial" w:hAnsi="Arial" w:cs="Arial"/>
          <w:lang w:val="en-US"/>
        </w:rPr>
      </w:pPr>
    </w:p>
    <w:p w14:paraId="2AFAB0C9" w14:textId="77777777" w:rsidR="003911D7" w:rsidRDefault="003911D7" w:rsidP="003911D7">
      <w:pPr>
        <w:jc w:val="center"/>
        <w:rPr>
          <w:rFonts w:ascii="Arial" w:hAnsi="Arial" w:cs="Arial"/>
          <w:lang w:val="en-US"/>
        </w:rPr>
      </w:pPr>
    </w:p>
    <w:p w14:paraId="79619F80" w14:textId="77777777" w:rsidR="003911D7" w:rsidRDefault="003911D7" w:rsidP="003911D7">
      <w:pPr>
        <w:jc w:val="center"/>
        <w:rPr>
          <w:rFonts w:ascii="Arial" w:hAnsi="Arial" w:cs="Arial"/>
          <w:lang w:val="en-US"/>
        </w:rPr>
      </w:pPr>
    </w:p>
    <w:p w14:paraId="3E6D4FDC" w14:textId="77777777" w:rsidR="003911D7" w:rsidRDefault="003911D7" w:rsidP="003911D7">
      <w:pPr>
        <w:jc w:val="center"/>
        <w:rPr>
          <w:rFonts w:ascii="Arial" w:hAnsi="Arial" w:cs="Arial"/>
          <w:lang w:val="en-US"/>
        </w:rPr>
      </w:pPr>
    </w:p>
    <w:p w14:paraId="71AD0AFB" w14:textId="77777777" w:rsidR="003911D7" w:rsidRDefault="003911D7" w:rsidP="003911D7">
      <w:pPr>
        <w:jc w:val="center"/>
        <w:rPr>
          <w:rFonts w:ascii="Arial" w:hAnsi="Arial" w:cs="Arial"/>
          <w:lang w:val="en-US"/>
        </w:rPr>
      </w:pPr>
    </w:p>
    <w:p w14:paraId="75B5911A" w14:textId="77777777" w:rsidR="003911D7" w:rsidRDefault="003911D7" w:rsidP="003911D7">
      <w:pPr>
        <w:jc w:val="center"/>
        <w:rPr>
          <w:rFonts w:ascii="Arial" w:hAnsi="Arial" w:cs="Arial"/>
          <w:lang w:val="en-US"/>
        </w:rPr>
      </w:pPr>
    </w:p>
    <w:p w14:paraId="1741EEE2" w14:textId="77777777" w:rsidR="003911D7" w:rsidRDefault="003911D7" w:rsidP="003911D7">
      <w:pPr>
        <w:jc w:val="center"/>
        <w:rPr>
          <w:rFonts w:ascii="Arial" w:hAnsi="Arial" w:cs="Arial"/>
          <w:lang w:val="en-US"/>
        </w:rPr>
      </w:pPr>
    </w:p>
    <w:p w14:paraId="4C190917" w14:textId="77777777" w:rsidR="003911D7" w:rsidRDefault="003911D7" w:rsidP="003911D7">
      <w:pPr>
        <w:jc w:val="center"/>
        <w:rPr>
          <w:rFonts w:ascii="Arial" w:hAnsi="Arial" w:cs="Arial"/>
          <w:lang w:val="en-US"/>
        </w:rPr>
      </w:pPr>
      <w:r>
        <w:rPr>
          <w:rFonts w:ascii="Arial" w:hAnsi="Arial" w:cs="Arial"/>
          <w:lang w:val="en-US"/>
        </w:rPr>
        <w:t>Brasília</w:t>
      </w:r>
    </w:p>
    <w:p w14:paraId="4E6EDDF0" w14:textId="0628A107" w:rsidR="00271E5F" w:rsidRPr="003911D7" w:rsidRDefault="003911D7" w:rsidP="003911D7">
      <w:pPr>
        <w:jc w:val="center"/>
        <w:rPr>
          <w:rFonts w:ascii="Arial" w:hAnsi="Arial" w:cs="Arial"/>
          <w:lang w:val="en-US"/>
        </w:rPr>
      </w:pPr>
      <w:r>
        <w:rPr>
          <w:rFonts w:ascii="Arial" w:hAnsi="Arial" w:cs="Arial"/>
          <w:lang w:val="en-US"/>
        </w:rPr>
        <w:t>2019</w:t>
      </w:r>
      <w:r w:rsidR="00271E5F" w:rsidRPr="003911D7">
        <w:rPr>
          <w:rFonts w:ascii="Arial" w:hAnsi="Arial" w:cs="Arial"/>
          <w:lang w:val="en-US"/>
        </w:rPr>
        <w:br w:type="page"/>
      </w:r>
    </w:p>
    <w:p w14:paraId="09AEC6B0" w14:textId="0E451ED3" w:rsidR="00854093" w:rsidRPr="00441005" w:rsidRDefault="00854093" w:rsidP="00441005">
      <w:pPr>
        <w:spacing w:line="360" w:lineRule="auto"/>
        <w:jc w:val="center"/>
        <w:rPr>
          <w:rFonts w:ascii="Arial" w:hAnsi="Arial" w:cs="Arial"/>
          <w:b/>
          <w:lang w:val="en-US"/>
        </w:rPr>
      </w:pPr>
      <w:r w:rsidRPr="00441005">
        <w:rPr>
          <w:rFonts w:ascii="Arial" w:hAnsi="Arial" w:cs="Arial"/>
          <w:b/>
          <w:lang w:val="en-US"/>
        </w:rPr>
        <w:t>RESUMO</w:t>
      </w:r>
    </w:p>
    <w:p w14:paraId="537B9711" w14:textId="77777777" w:rsidR="00854093" w:rsidRDefault="00854093" w:rsidP="00854093">
      <w:pPr>
        <w:spacing w:line="720" w:lineRule="auto"/>
      </w:pPr>
    </w:p>
    <w:p w14:paraId="2CFD603D" w14:textId="77777777" w:rsidR="00854093" w:rsidRDefault="00854093" w:rsidP="00854093">
      <w:pPr>
        <w:spacing w:line="720" w:lineRule="auto"/>
      </w:pPr>
    </w:p>
    <w:p w14:paraId="22C16316" w14:textId="3EB02DA5" w:rsidR="00854093" w:rsidRDefault="00854093" w:rsidP="00CB1460">
      <w:pPr>
        <w:jc w:val="both"/>
        <w:rPr>
          <w:rFonts w:ascii="Arial" w:hAnsi="Arial" w:cs="Arial"/>
        </w:rPr>
      </w:pPr>
      <w:r w:rsidRPr="00292D3E">
        <w:rPr>
          <w:rFonts w:ascii="Arial" w:hAnsi="Arial" w:cs="Arial"/>
        </w:rPr>
        <w:t xml:space="preserve">Referência: AFONSECA JUNIOR, L. M. </w:t>
      </w:r>
      <w:r w:rsidRPr="00292D3E">
        <w:rPr>
          <w:rFonts w:ascii="Arial" w:hAnsi="Arial" w:cs="Arial"/>
          <w:b/>
        </w:rPr>
        <w:t>Descentralização Fiscal e o Crescimento Econômico dos Estados Brasileiros</w:t>
      </w:r>
      <w:r w:rsidRPr="00292D3E">
        <w:rPr>
          <w:rFonts w:ascii="Arial" w:hAnsi="Arial" w:cs="Arial"/>
        </w:rPr>
        <w:t>. 2019</w:t>
      </w:r>
      <w:r w:rsidR="00CB1460" w:rsidRPr="00292D3E">
        <w:rPr>
          <w:rFonts w:ascii="Arial" w:hAnsi="Arial" w:cs="Arial"/>
        </w:rPr>
        <w:t>. Requisito parcial para obtenção do título de Especialista em Finanças Públicas pela Escola Nacional de Administração Pública – ENAP</w:t>
      </w:r>
      <w:r w:rsidR="00CB1460">
        <w:rPr>
          <w:rFonts w:ascii="Arial" w:hAnsi="Arial" w:cs="Arial"/>
        </w:rPr>
        <w:t>.</w:t>
      </w:r>
    </w:p>
    <w:p w14:paraId="7E0F58F1" w14:textId="2DD41DFF" w:rsidR="00854093" w:rsidRDefault="00854093" w:rsidP="00CB1460">
      <w:pPr>
        <w:spacing w:line="720" w:lineRule="auto"/>
        <w:rPr>
          <w:rFonts w:ascii="Arial" w:hAnsi="Arial" w:cs="Arial"/>
        </w:rPr>
      </w:pPr>
    </w:p>
    <w:p w14:paraId="3D8F90A2" w14:textId="47AC7E41" w:rsidR="00854093" w:rsidRDefault="00854093" w:rsidP="00CB1460">
      <w:pPr>
        <w:spacing w:line="720" w:lineRule="auto"/>
        <w:rPr>
          <w:rFonts w:ascii="Arial" w:hAnsi="Arial" w:cs="Arial"/>
        </w:rPr>
      </w:pPr>
    </w:p>
    <w:p w14:paraId="3F745091" w14:textId="59F9CBC9" w:rsidR="00854093" w:rsidRDefault="00292D3E" w:rsidP="00CB1460">
      <w:pPr>
        <w:spacing w:line="360" w:lineRule="auto"/>
        <w:jc w:val="both"/>
        <w:rPr>
          <w:rFonts w:ascii="Arial" w:hAnsi="Arial" w:cs="Arial"/>
        </w:rPr>
      </w:pPr>
      <w:r>
        <w:rPr>
          <w:rFonts w:ascii="Arial" w:hAnsi="Arial" w:cs="Arial"/>
        </w:rPr>
        <w:t>C</w:t>
      </w:r>
      <w:r w:rsidR="00CB1460">
        <w:rPr>
          <w:rFonts w:ascii="Arial" w:hAnsi="Arial" w:cs="Arial"/>
        </w:rPr>
        <w:t xml:space="preserve">rescimento econômico é um dos objetivos buscados pelos governos de forma geral, desta forma são capazes de fornecer cada vez mais e melhores bens e serviços públicos à população. A forma de obter esse crescimento é um desafio a ser enfrentado e superado e uma das que tem sido estudada para alcançar o crescimento econômico é a </w:t>
      </w:r>
      <w:r w:rsidR="002744A8">
        <w:rPr>
          <w:rFonts w:ascii="Arial" w:hAnsi="Arial" w:cs="Arial"/>
        </w:rPr>
        <w:t>D</w:t>
      </w:r>
      <w:r w:rsidR="00CB1460">
        <w:rPr>
          <w:rFonts w:ascii="Arial" w:hAnsi="Arial" w:cs="Arial"/>
        </w:rPr>
        <w:t xml:space="preserve">escentralização </w:t>
      </w:r>
      <w:r w:rsidR="002744A8">
        <w:rPr>
          <w:rFonts w:ascii="Arial" w:hAnsi="Arial" w:cs="Arial"/>
        </w:rPr>
        <w:t>F</w:t>
      </w:r>
      <w:r w:rsidR="00CB1460">
        <w:rPr>
          <w:rFonts w:ascii="Arial" w:hAnsi="Arial" w:cs="Arial"/>
        </w:rPr>
        <w:t xml:space="preserve">iscal. Há uma hipótese teórica amplamente aceita de que a descentralização fiscal promove o crescimento econômico, entretanto, estudos empíricos apresentaram resultados divergentes, alguns com a conclusão de que relação entre os dois é positiva e outros concluindo o contrário. Neste trabalho é analisado o caso brasileiro, por meio de um modelo econométrico é feita a análise do crescimento econômico no período de 1995 a 2016. De acordo com os dados e modelo utilizados é possível concluir que no período houve sim uma correlação positiva entre a descentralização fiscal e o desenvolvimento econômico, entretanto, a forma de descentralização é importante e não funciona da mesma forma </w:t>
      </w:r>
      <w:r w:rsidR="00A5443A">
        <w:rPr>
          <w:rFonts w:ascii="Arial" w:hAnsi="Arial" w:cs="Arial"/>
        </w:rPr>
        <w:t>para as cinco regiões geográficas estudadas.</w:t>
      </w:r>
    </w:p>
    <w:p w14:paraId="0BFAC646" w14:textId="2E95255A" w:rsidR="00A5443A" w:rsidRDefault="00A5443A" w:rsidP="00A5443A">
      <w:pPr>
        <w:spacing w:line="720" w:lineRule="auto"/>
        <w:jc w:val="both"/>
        <w:rPr>
          <w:rFonts w:ascii="Arial" w:hAnsi="Arial" w:cs="Arial"/>
        </w:rPr>
      </w:pPr>
    </w:p>
    <w:p w14:paraId="2AC6B0D5" w14:textId="237AABA1" w:rsidR="00A5443A" w:rsidRDefault="00A5443A" w:rsidP="00A5443A">
      <w:pPr>
        <w:spacing w:line="720" w:lineRule="auto"/>
        <w:jc w:val="both"/>
        <w:rPr>
          <w:rFonts w:ascii="Arial" w:hAnsi="Arial" w:cs="Arial"/>
        </w:rPr>
      </w:pPr>
    </w:p>
    <w:p w14:paraId="34170792" w14:textId="6D5226F7" w:rsidR="00A5443A" w:rsidRDefault="00A5443A" w:rsidP="00CB1460">
      <w:pPr>
        <w:spacing w:line="360" w:lineRule="auto"/>
        <w:jc w:val="both"/>
        <w:rPr>
          <w:rFonts w:ascii="Arial" w:hAnsi="Arial" w:cs="Arial"/>
        </w:rPr>
      </w:pPr>
      <w:r>
        <w:rPr>
          <w:rFonts w:ascii="Arial" w:hAnsi="Arial" w:cs="Arial"/>
        </w:rPr>
        <w:lastRenderedPageBreak/>
        <w:t>Palavras-chave: Crescimento econômico. Descentralização fiscal. Regiões geográficas. Correlação positiva.</w:t>
      </w:r>
    </w:p>
    <w:p w14:paraId="03ADBDA2" w14:textId="77FD731D" w:rsidR="00292D3E" w:rsidRPr="00292D3E" w:rsidRDefault="00292D3E" w:rsidP="00292D3E">
      <w:pPr>
        <w:spacing w:line="360" w:lineRule="auto"/>
        <w:jc w:val="center"/>
        <w:rPr>
          <w:rFonts w:ascii="Arial" w:hAnsi="Arial" w:cs="Arial"/>
          <w:lang w:val="en-US"/>
        </w:rPr>
      </w:pPr>
      <w:r w:rsidRPr="00292D3E">
        <w:rPr>
          <w:rFonts w:ascii="Arial" w:hAnsi="Arial" w:cs="Arial"/>
          <w:b/>
          <w:lang w:val="en-US"/>
        </w:rPr>
        <w:t>Abstract</w:t>
      </w:r>
    </w:p>
    <w:p w14:paraId="51361ACB" w14:textId="23AEAFF2" w:rsidR="00292D3E" w:rsidRPr="00292D3E" w:rsidRDefault="00292D3E" w:rsidP="00292D3E">
      <w:pPr>
        <w:spacing w:line="720" w:lineRule="auto"/>
        <w:jc w:val="center"/>
        <w:rPr>
          <w:rFonts w:ascii="Arial" w:hAnsi="Arial" w:cs="Arial"/>
          <w:lang w:val="en-US"/>
        </w:rPr>
      </w:pPr>
    </w:p>
    <w:p w14:paraId="7FA0945A" w14:textId="4E683ECD" w:rsidR="00292D3E" w:rsidRPr="00292D3E" w:rsidRDefault="00292D3E" w:rsidP="00292D3E">
      <w:pPr>
        <w:spacing w:line="720" w:lineRule="auto"/>
        <w:jc w:val="center"/>
        <w:rPr>
          <w:rFonts w:ascii="Arial" w:hAnsi="Arial" w:cs="Arial"/>
          <w:lang w:val="en-US"/>
        </w:rPr>
      </w:pPr>
    </w:p>
    <w:p w14:paraId="103E0CED" w14:textId="57ED7A33" w:rsidR="00292D3E" w:rsidRDefault="00292D3E" w:rsidP="00292D3E">
      <w:pPr>
        <w:spacing w:line="360" w:lineRule="auto"/>
        <w:jc w:val="both"/>
        <w:rPr>
          <w:rFonts w:ascii="Arial" w:hAnsi="Arial" w:cs="Arial"/>
          <w:lang w:val="en-US"/>
        </w:rPr>
      </w:pPr>
      <w:r w:rsidRPr="00292D3E">
        <w:rPr>
          <w:rFonts w:ascii="Arial" w:hAnsi="Arial" w:cs="Arial"/>
          <w:lang w:val="en-US"/>
        </w:rPr>
        <w:t>Economic growth is one of the goals pursued by governments in general, by doin</w:t>
      </w:r>
      <w:r>
        <w:rPr>
          <w:rFonts w:ascii="Arial" w:hAnsi="Arial" w:cs="Arial"/>
          <w:lang w:val="en-US"/>
        </w:rPr>
        <w:t>g</w:t>
      </w:r>
      <w:r w:rsidRPr="00292D3E">
        <w:rPr>
          <w:rFonts w:ascii="Arial" w:hAnsi="Arial" w:cs="Arial"/>
          <w:lang w:val="en-US"/>
        </w:rPr>
        <w:t xml:space="preserve"> this they can provide</w:t>
      </w:r>
      <w:r w:rsidR="002744A8">
        <w:rPr>
          <w:rFonts w:ascii="Arial" w:hAnsi="Arial" w:cs="Arial"/>
          <w:lang w:val="en-US"/>
        </w:rPr>
        <w:t xml:space="preserve"> to</w:t>
      </w:r>
      <w:r w:rsidRPr="00292D3E">
        <w:rPr>
          <w:rFonts w:ascii="Arial" w:hAnsi="Arial" w:cs="Arial"/>
          <w:lang w:val="en-US"/>
        </w:rPr>
        <w:t xml:space="preserve"> the population more and better public goods and services.</w:t>
      </w:r>
      <w:r w:rsidR="002744A8">
        <w:rPr>
          <w:rFonts w:ascii="Arial" w:hAnsi="Arial" w:cs="Arial"/>
          <w:lang w:val="en-US"/>
        </w:rPr>
        <w:t xml:space="preserve"> The way to obtain this growth is a challenge to be faced and overcome and one of the ways to reach that goal that has being under study is Fiscal Decentralization. There is the theoretical hypothesis, widely accepted, that Decentralization promotes Economic Growth, however, empirical studies has presented divergent results, some concluding that there is a positive correlation between them and other that come to the opposite conclusion. This work studies the Brazilian case, by using </w:t>
      </w:r>
      <w:proofErr w:type="gramStart"/>
      <w:r w:rsidR="002744A8">
        <w:rPr>
          <w:rFonts w:ascii="Arial" w:hAnsi="Arial" w:cs="Arial"/>
          <w:lang w:val="en-US"/>
        </w:rPr>
        <w:t>a</w:t>
      </w:r>
      <w:proofErr w:type="gramEnd"/>
      <w:r w:rsidR="002744A8">
        <w:rPr>
          <w:rFonts w:ascii="Arial" w:hAnsi="Arial" w:cs="Arial"/>
          <w:lang w:val="en-US"/>
        </w:rPr>
        <w:t xml:space="preserve"> econometric model the economic growth during the period of 1995 to 2016 is investigated. According to the data and the model used it is possible to conclude that yes, during the period under study there was a positive correlation between Fiscal Decentralization and Economic Growth, however, the form of decentralization does make difference and it doesn’t work the same way for the geographic regions that were studied.</w:t>
      </w:r>
    </w:p>
    <w:p w14:paraId="4C75E0ED" w14:textId="6142BB3D" w:rsidR="002744A8" w:rsidRDefault="002744A8" w:rsidP="002744A8">
      <w:pPr>
        <w:spacing w:line="720" w:lineRule="auto"/>
        <w:jc w:val="both"/>
        <w:rPr>
          <w:rFonts w:ascii="Arial" w:hAnsi="Arial" w:cs="Arial"/>
          <w:lang w:val="en-US"/>
        </w:rPr>
      </w:pPr>
    </w:p>
    <w:p w14:paraId="5815F684" w14:textId="5D9EFA3F" w:rsidR="002744A8" w:rsidRDefault="002744A8" w:rsidP="002744A8">
      <w:pPr>
        <w:spacing w:line="720" w:lineRule="auto"/>
        <w:jc w:val="both"/>
        <w:rPr>
          <w:rFonts w:ascii="Arial" w:hAnsi="Arial" w:cs="Arial"/>
          <w:lang w:val="en-US"/>
        </w:rPr>
      </w:pPr>
    </w:p>
    <w:p w14:paraId="36F329FD" w14:textId="23282366" w:rsidR="002744A8" w:rsidRPr="00292D3E" w:rsidRDefault="002744A8" w:rsidP="00292D3E">
      <w:pPr>
        <w:spacing w:line="360" w:lineRule="auto"/>
        <w:jc w:val="both"/>
        <w:rPr>
          <w:rFonts w:ascii="Arial" w:hAnsi="Arial" w:cs="Arial"/>
          <w:lang w:val="en-US"/>
        </w:rPr>
      </w:pPr>
      <w:r>
        <w:rPr>
          <w:rFonts w:ascii="Arial" w:hAnsi="Arial" w:cs="Arial"/>
          <w:lang w:val="en-US"/>
        </w:rPr>
        <w:t xml:space="preserve">Keywords: Economic Growth. Fiscal Decentralization. </w:t>
      </w:r>
      <w:r w:rsidR="009F1659">
        <w:rPr>
          <w:rFonts w:ascii="Arial" w:hAnsi="Arial" w:cs="Arial"/>
          <w:lang w:val="en-US"/>
        </w:rPr>
        <w:t>Geographic regions. Positive correlation.</w:t>
      </w:r>
    </w:p>
    <w:p w14:paraId="75E7EA52" w14:textId="573D00B1" w:rsidR="00854093" w:rsidRPr="00854093" w:rsidRDefault="00854093" w:rsidP="00854093">
      <w:pPr>
        <w:sectPr w:rsidR="00854093" w:rsidRPr="00854093" w:rsidSect="00854093">
          <w:type w:val="continuous"/>
          <w:pgSz w:w="11900" w:h="16840"/>
          <w:pgMar w:top="1417" w:right="1701" w:bottom="1417" w:left="1701" w:header="708" w:footer="708" w:gutter="0"/>
          <w:cols w:space="708"/>
          <w:docGrid w:linePitch="360"/>
        </w:sectPr>
      </w:pPr>
    </w:p>
    <w:sdt>
      <w:sdtPr>
        <w:id w:val="525075565"/>
        <w:docPartObj>
          <w:docPartGallery w:val="Table of Contents"/>
          <w:docPartUnique/>
        </w:docPartObj>
      </w:sdtPr>
      <w:sdtContent>
        <w:p w14:paraId="77B77250" w14:textId="77777777" w:rsidR="009F0C98" w:rsidRDefault="009F0C98" w:rsidP="009F0C98">
          <w:pPr>
            <w:pStyle w:val="CabealhodoSumrio"/>
            <w:jc w:val="center"/>
            <w:rPr>
              <w:rFonts w:ascii="Arial" w:hAnsi="Arial" w:cs="Arial"/>
              <w:b/>
              <w:color w:val="auto"/>
            </w:rPr>
          </w:pPr>
          <w:r w:rsidRPr="009F0C98">
            <w:rPr>
              <w:rFonts w:ascii="Arial" w:hAnsi="Arial" w:cs="Arial"/>
              <w:b/>
              <w:color w:val="auto"/>
            </w:rPr>
            <w:t>SUMÁRIO</w:t>
          </w:r>
        </w:p>
        <w:p w14:paraId="43142BCB" w14:textId="267BD56D" w:rsidR="009F0C98" w:rsidRPr="009F0C98" w:rsidRDefault="009F0C98" w:rsidP="009F0C98">
          <w:pPr>
            <w:pStyle w:val="CabealhodoSumrio"/>
            <w:jc w:val="center"/>
            <w:rPr>
              <w:rFonts w:ascii="Arial" w:hAnsi="Arial" w:cs="Arial"/>
              <w:noProof/>
              <w:color w:val="auto"/>
            </w:rPr>
          </w:pPr>
          <w:r>
            <w:fldChar w:fldCharType="begin"/>
          </w:r>
          <w:r>
            <w:instrText xml:space="preserve"> TOC \h \z \t "Título;1;Subtítulo;2" </w:instrText>
          </w:r>
          <w:r>
            <w:fldChar w:fldCharType="separate"/>
          </w:r>
        </w:p>
        <w:p w14:paraId="77E0D3A6" w14:textId="382BD644" w:rsidR="009F0C98" w:rsidRPr="009F0C98" w:rsidRDefault="009F0C98" w:rsidP="009F0C98">
          <w:pPr>
            <w:pStyle w:val="Sumrio1"/>
          </w:pPr>
          <w:hyperlink w:anchor="_Toc16492053" w:history="1">
            <w:r w:rsidRPr="009F0C98">
              <w:rPr>
                <w:rStyle w:val="Hyperlink"/>
              </w:rPr>
              <w:t>1. Introdução</w:t>
            </w:r>
            <w:r w:rsidRPr="009F0C98">
              <w:rPr>
                <w:webHidden/>
              </w:rPr>
              <w:tab/>
            </w:r>
            <w:r w:rsidRPr="009F0C98">
              <w:rPr>
                <w:webHidden/>
              </w:rPr>
              <w:fldChar w:fldCharType="begin"/>
            </w:r>
            <w:r w:rsidRPr="009F0C98">
              <w:rPr>
                <w:webHidden/>
              </w:rPr>
              <w:instrText xml:space="preserve"> PAGEREF _Toc16492053 \h </w:instrText>
            </w:r>
            <w:r w:rsidRPr="009F0C98">
              <w:rPr>
                <w:webHidden/>
              </w:rPr>
            </w:r>
            <w:r w:rsidRPr="009F0C98">
              <w:rPr>
                <w:webHidden/>
              </w:rPr>
              <w:fldChar w:fldCharType="separate"/>
            </w:r>
            <w:r w:rsidR="00653DC9">
              <w:rPr>
                <w:webHidden/>
              </w:rPr>
              <w:t>6</w:t>
            </w:r>
            <w:r w:rsidRPr="009F0C98">
              <w:rPr>
                <w:webHidden/>
              </w:rPr>
              <w:fldChar w:fldCharType="end"/>
            </w:r>
          </w:hyperlink>
        </w:p>
        <w:p w14:paraId="07247D65" w14:textId="00F7BC11" w:rsidR="009F0C98" w:rsidRPr="009F0C98" w:rsidRDefault="009F0C98">
          <w:pPr>
            <w:pStyle w:val="Sumrio2"/>
            <w:tabs>
              <w:tab w:val="right" w:leader="dot" w:pos="8488"/>
            </w:tabs>
            <w:rPr>
              <w:rFonts w:ascii="Arial" w:hAnsi="Arial" w:cs="Arial"/>
              <w:noProof/>
            </w:rPr>
          </w:pPr>
          <w:hyperlink w:anchor="_Toc16492054" w:history="1">
            <w:r w:rsidRPr="009F0C98">
              <w:rPr>
                <w:rStyle w:val="Hyperlink"/>
                <w:rFonts w:ascii="Arial" w:hAnsi="Arial" w:cs="Arial"/>
                <w:noProof/>
              </w:rPr>
              <w:t>1.1 Tema</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_Toc16492054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6</w:t>
            </w:r>
            <w:r w:rsidRPr="009F0C98">
              <w:rPr>
                <w:rFonts w:ascii="Arial" w:hAnsi="Arial" w:cs="Arial"/>
                <w:noProof/>
                <w:webHidden/>
              </w:rPr>
              <w:fldChar w:fldCharType="end"/>
            </w:r>
          </w:hyperlink>
          <w:bookmarkStart w:id="0" w:name="_GoBack"/>
          <w:bookmarkEnd w:id="0"/>
        </w:p>
        <w:p w14:paraId="1DEB495C" w14:textId="1F0D9AB5" w:rsidR="009F0C98" w:rsidRPr="009F0C98" w:rsidRDefault="009F0C98">
          <w:pPr>
            <w:pStyle w:val="Sumrio2"/>
            <w:tabs>
              <w:tab w:val="right" w:leader="dot" w:pos="8488"/>
            </w:tabs>
            <w:rPr>
              <w:rFonts w:ascii="Arial" w:hAnsi="Arial" w:cs="Arial"/>
              <w:noProof/>
            </w:rPr>
          </w:pPr>
          <w:hyperlink w:anchor="_Toc16492055" w:history="1">
            <w:r w:rsidRPr="009F0C98">
              <w:rPr>
                <w:rStyle w:val="Hyperlink"/>
                <w:rFonts w:ascii="Arial" w:hAnsi="Arial" w:cs="Arial"/>
                <w:noProof/>
              </w:rPr>
              <w:t>1.2 Problema de pesquisa</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_Toc16492055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7</w:t>
            </w:r>
            <w:r w:rsidRPr="009F0C98">
              <w:rPr>
                <w:rFonts w:ascii="Arial" w:hAnsi="Arial" w:cs="Arial"/>
                <w:noProof/>
                <w:webHidden/>
              </w:rPr>
              <w:fldChar w:fldCharType="end"/>
            </w:r>
          </w:hyperlink>
        </w:p>
        <w:p w14:paraId="666A14B4" w14:textId="34B514CE" w:rsidR="009F0C98" w:rsidRPr="009F0C98" w:rsidRDefault="009F0C98">
          <w:pPr>
            <w:pStyle w:val="Sumrio2"/>
            <w:tabs>
              <w:tab w:val="right" w:leader="dot" w:pos="8488"/>
            </w:tabs>
            <w:rPr>
              <w:rFonts w:ascii="Arial" w:hAnsi="Arial" w:cs="Arial"/>
              <w:noProof/>
            </w:rPr>
          </w:pPr>
          <w:hyperlink w:anchor="_Toc16492056" w:history="1">
            <w:r w:rsidRPr="009F0C98">
              <w:rPr>
                <w:rStyle w:val="Hyperlink"/>
                <w:rFonts w:ascii="Arial" w:hAnsi="Arial" w:cs="Arial"/>
                <w:noProof/>
              </w:rPr>
              <w:t>1.3 Hipótese a ser testada</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_Toc16492056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7</w:t>
            </w:r>
            <w:r w:rsidRPr="009F0C98">
              <w:rPr>
                <w:rFonts w:ascii="Arial" w:hAnsi="Arial" w:cs="Arial"/>
                <w:noProof/>
                <w:webHidden/>
              </w:rPr>
              <w:fldChar w:fldCharType="end"/>
            </w:r>
          </w:hyperlink>
        </w:p>
        <w:p w14:paraId="0EA925C5" w14:textId="72E50610" w:rsidR="009F0C98" w:rsidRPr="009F0C98" w:rsidRDefault="009F0C98">
          <w:pPr>
            <w:pStyle w:val="Sumrio2"/>
            <w:tabs>
              <w:tab w:val="right" w:leader="dot" w:pos="8488"/>
            </w:tabs>
            <w:rPr>
              <w:rFonts w:ascii="Arial" w:hAnsi="Arial" w:cs="Arial"/>
              <w:noProof/>
            </w:rPr>
          </w:pPr>
          <w:hyperlink w:anchor="_Toc16492057" w:history="1">
            <w:r w:rsidRPr="009F0C98">
              <w:rPr>
                <w:rStyle w:val="Hyperlink"/>
                <w:rFonts w:ascii="Arial" w:hAnsi="Arial" w:cs="Arial"/>
                <w:noProof/>
              </w:rPr>
              <w:t>1.4 Objetivos geral e específicos</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_Toc16492057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7</w:t>
            </w:r>
            <w:r w:rsidRPr="009F0C98">
              <w:rPr>
                <w:rFonts w:ascii="Arial" w:hAnsi="Arial" w:cs="Arial"/>
                <w:noProof/>
                <w:webHidden/>
              </w:rPr>
              <w:fldChar w:fldCharType="end"/>
            </w:r>
          </w:hyperlink>
        </w:p>
        <w:p w14:paraId="0A1AAB05" w14:textId="7D4897C9" w:rsidR="009F0C98" w:rsidRPr="009F0C98" w:rsidRDefault="009F0C98">
          <w:pPr>
            <w:pStyle w:val="Sumrio2"/>
            <w:tabs>
              <w:tab w:val="right" w:leader="dot" w:pos="8488"/>
            </w:tabs>
            <w:rPr>
              <w:rFonts w:ascii="Arial" w:hAnsi="Arial" w:cs="Arial"/>
              <w:noProof/>
            </w:rPr>
          </w:pPr>
          <w:hyperlink w:anchor="_Toc16492058" w:history="1">
            <w:r w:rsidRPr="009F0C98">
              <w:rPr>
                <w:rStyle w:val="Hyperlink"/>
                <w:rFonts w:ascii="Arial" w:hAnsi="Arial" w:cs="Arial"/>
                <w:noProof/>
              </w:rPr>
              <w:t>1.5 Justificativa do tema: relevância e contribuição</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_Toc16492058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8</w:t>
            </w:r>
            <w:r w:rsidRPr="009F0C98">
              <w:rPr>
                <w:rFonts w:ascii="Arial" w:hAnsi="Arial" w:cs="Arial"/>
                <w:noProof/>
                <w:webHidden/>
              </w:rPr>
              <w:fldChar w:fldCharType="end"/>
            </w:r>
          </w:hyperlink>
        </w:p>
        <w:p w14:paraId="3C1F97FD" w14:textId="7FE4423D" w:rsidR="009F0C98" w:rsidRPr="009F0C98" w:rsidRDefault="009F0C98">
          <w:pPr>
            <w:pStyle w:val="Sumrio2"/>
            <w:tabs>
              <w:tab w:val="right" w:leader="dot" w:pos="8488"/>
            </w:tabs>
            <w:rPr>
              <w:rFonts w:ascii="Arial" w:hAnsi="Arial" w:cs="Arial"/>
              <w:noProof/>
            </w:rPr>
          </w:pPr>
          <w:hyperlink w:anchor="_Toc16492059" w:history="1">
            <w:r w:rsidRPr="009F0C98">
              <w:rPr>
                <w:rStyle w:val="Hyperlink"/>
                <w:rFonts w:ascii="Arial" w:hAnsi="Arial" w:cs="Arial"/>
                <w:noProof/>
              </w:rPr>
              <w:t>1.6 Delimitação do escopo do estudo</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_Toc16492059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9</w:t>
            </w:r>
            <w:r w:rsidRPr="009F0C98">
              <w:rPr>
                <w:rFonts w:ascii="Arial" w:hAnsi="Arial" w:cs="Arial"/>
                <w:noProof/>
                <w:webHidden/>
              </w:rPr>
              <w:fldChar w:fldCharType="end"/>
            </w:r>
          </w:hyperlink>
        </w:p>
        <w:p w14:paraId="23168F17" w14:textId="69473DE8" w:rsidR="009F0C98" w:rsidRPr="009F0C98" w:rsidRDefault="009F0C98" w:rsidP="009F0C98">
          <w:pPr>
            <w:pStyle w:val="Sumrio1"/>
          </w:pPr>
          <w:hyperlink w:anchor="_Toc16492060" w:history="1">
            <w:r w:rsidRPr="009F0C98">
              <w:rPr>
                <w:rStyle w:val="Hyperlink"/>
              </w:rPr>
              <w:t>2. Fundamentação Teórica</w:t>
            </w:r>
            <w:r w:rsidRPr="009F0C98">
              <w:rPr>
                <w:webHidden/>
              </w:rPr>
              <w:tab/>
            </w:r>
            <w:r w:rsidRPr="009F0C98">
              <w:rPr>
                <w:webHidden/>
              </w:rPr>
              <w:fldChar w:fldCharType="begin"/>
            </w:r>
            <w:r w:rsidRPr="009F0C98">
              <w:rPr>
                <w:webHidden/>
              </w:rPr>
              <w:instrText xml:space="preserve"> PAGEREF _Toc16492060 \h </w:instrText>
            </w:r>
            <w:r w:rsidRPr="009F0C98">
              <w:rPr>
                <w:webHidden/>
              </w:rPr>
            </w:r>
            <w:r w:rsidRPr="009F0C98">
              <w:rPr>
                <w:webHidden/>
              </w:rPr>
              <w:fldChar w:fldCharType="separate"/>
            </w:r>
            <w:r w:rsidR="00653DC9">
              <w:rPr>
                <w:webHidden/>
              </w:rPr>
              <w:t>10</w:t>
            </w:r>
            <w:r w:rsidRPr="009F0C98">
              <w:rPr>
                <w:webHidden/>
              </w:rPr>
              <w:fldChar w:fldCharType="end"/>
            </w:r>
          </w:hyperlink>
        </w:p>
        <w:p w14:paraId="337C3874" w14:textId="527EAE46" w:rsidR="009F0C98" w:rsidRPr="009F0C98" w:rsidRDefault="009F0C98">
          <w:pPr>
            <w:pStyle w:val="Sumrio2"/>
            <w:tabs>
              <w:tab w:val="right" w:leader="dot" w:pos="8488"/>
            </w:tabs>
            <w:rPr>
              <w:rFonts w:ascii="Arial" w:hAnsi="Arial" w:cs="Arial"/>
              <w:noProof/>
            </w:rPr>
          </w:pPr>
          <w:hyperlink w:anchor="_Toc16492061" w:history="1">
            <w:r w:rsidRPr="009F0C98">
              <w:rPr>
                <w:rStyle w:val="Hyperlink"/>
                <w:rFonts w:ascii="Arial" w:hAnsi="Arial" w:cs="Arial"/>
                <w:noProof/>
              </w:rPr>
              <w:t>2.1 Teoria da primeira geração do federalismo fiscal</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_Toc16492061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10</w:t>
            </w:r>
            <w:r w:rsidRPr="009F0C98">
              <w:rPr>
                <w:rFonts w:ascii="Arial" w:hAnsi="Arial" w:cs="Arial"/>
                <w:noProof/>
                <w:webHidden/>
              </w:rPr>
              <w:fldChar w:fldCharType="end"/>
            </w:r>
          </w:hyperlink>
        </w:p>
        <w:p w14:paraId="3F8E7E7A" w14:textId="0B39B5C5" w:rsidR="009F0C98" w:rsidRPr="009F0C98" w:rsidRDefault="009F0C98">
          <w:pPr>
            <w:pStyle w:val="Sumrio2"/>
            <w:tabs>
              <w:tab w:val="right" w:leader="dot" w:pos="8488"/>
            </w:tabs>
            <w:rPr>
              <w:rFonts w:ascii="Arial" w:hAnsi="Arial" w:cs="Arial"/>
              <w:noProof/>
            </w:rPr>
          </w:pPr>
          <w:hyperlink w:anchor="_Toc16492062" w:history="1">
            <w:r w:rsidRPr="009F0C98">
              <w:rPr>
                <w:rStyle w:val="Hyperlink"/>
                <w:rFonts w:ascii="Arial" w:hAnsi="Arial" w:cs="Arial"/>
                <w:noProof/>
              </w:rPr>
              <w:t>2.2 Estudos empíricos sobre a relação entre descentralização fiscal e crescimento econômico</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_Toc16492062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24</w:t>
            </w:r>
            <w:r w:rsidRPr="009F0C98">
              <w:rPr>
                <w:rFonts w:ascii="Arial" w:hAnsi="Arial" w:cs="Arial"/>
                <w:noProof/>
                <w:webHidden/>
              </w:rPr>
              <w:fldChar w:fldCharType="end"/>
            </w:r>
          </w:hyperlink>
        </w:p>
        <w:p w14:paraId="5896DAF9" w14:textId="36776AE4" w:rsidR="009F0C98" w:rsidRPr="009F0C98" w:rsidRDefault="009F0C98" w:rsidP="009F0C98">
          <w:pPr>
            <w:pStyle w:val="Sumrio1"/>
          </w:pPr>
          <w:hyperlink w:anchor="_Toc16492063" w:history="1">
            <w:r w:rsidRPr="009F0C98">
              <w:rPr>
                <w:rStyle w:val="Hyperlink"/>
              </w:rPr>
              <w:t>3. Descrição dos Dados</w:t>
            </w:r>
            <w:r w:rsidRPr="009F0C98">
              <w:rPr>
                <w:webHidden/>
              </w:rPr>
              <w:tab/>
            </w:r>
            <w:r w:rsidRPr="009F0C98">
              <w:rPr>
                <w:webHidden/>
              </w:rPr>
              <w:fldChar w:fldCharType="begin"/>
            </w:r>
            <w:r w:rsidRPr="009F0C98">
              <w:rPr>
                <w:webHidden/>
              </w:rPr>
              <w:instrText xml:space="preserve"> PAGEREF _Toc16492063 \h </w:instrText>
            </w:r>
            <w:r w:rsidRPr="009F0C98">
              <w:rPr>
                <w:webHidden/>
              </w:rPr>
            </w:r>
            <w:r w:rsidRPr="009F0C98">
              <w:rPr>
                <w:webHidden/>
              </w:rPr>
              <w:fldChar w:fldCharType="separate"/>
            </w:r>
            <w:r w:rsidR="00653DC9">
              <w:rPr>
                <w:webHidden/>
              </w:rPr>
              <w:t>35</w:t>
            </w:r>
            <w:r w:rsidRPr="009F0C98">
              <w:rPr>
                <w:webHidden/>
              </w:rPr>
              <w:fldChar w:fldCharType="end"/>
            </w:r>
          </w:hyperlink>
        </w:p>
        <w:p w14:paraId="2E5B5554" w14:textId="75844612" w:rsidR="009F0C98" w:rsidRPr="009F0C98" w:rsidRDefault="009F0C98" w:rsidP="009F0C98">
          <w:pPr>
            <w:pStyle w:val="Sumrio1"/>
          </w:pPr>
          <w:hyperlink w:anchor="_Toc16492064" w:history="1">
            <w:r w:rsidRPr="009F0C98">
              <w:rPr>
                <w:rStyle w:val="Hyperlink"/>
              </w:rPr>
              <w:t>4. Metodologia</w:t>
            </w:r>
            <w:r w:rsidRPr="009F0C98">
              <w:rPr>
                <w:webHidden/>
              </w:rPr>
              <w:tab/>
            </w:r>
            <w:r w:rsidRPr="009F0C98">
              <w:rPr>
                <w:webHidden/>
              </w:rPr>
              <w:fldChar w:fldCharType="begin"/>
            </w:r>
            <w:r w:rsidRPr="009F0C98">
              <w:rPr>
                <w:webHidden/>
              </w:rPr>
              <w:instrText xml:space="preserve"> PAGEREF _Toc16492064 \h </w:instrText>
            </w:r>
            <w:r w:rsidRPr="009F0C98">
              <w:rPr>
                <w:webHidden/>
              </w:rPr>
            </w:r>
            <w:r w:rsidRPr="009F0C98">
              <w:rPr>
                <w:webHidden/>
              </w:rPr>
              <w:fldChar w:fldCharType="separate"/>
            </w:r>
            <w:r w:rsidR="00653DC9">
              <w:rPr>
                <w:webHidden/>
              </w:rPr>
              <w:t>38</w:t>
            </w:r>
            <w:r w:rsidRPr="009F0C98">
              <w:rPr>
                <w:webHidden/>
              </w:rPr>
              <w:fldChar w:fldCharType="end"/>
            </w:r>
          </w:hyperlink>
        </w:p>
        <w:p w14:paraId="00E54D50" w14:textId="6995B8FE" w:rsidR="009F0C98" w:rsidRPr="009F0C98" w:rsidRDefault="009F0C98">
          <w:pPr>
            <w:pStyle w:val="Sumrio2"/>
            <w:tabs>
              <w:tab w:val="right" w:leader="dot" w:pos="8488"/>
            </w:tabs>
            <w:rPr>
              <w:rFonts w:ascii="Arial" w:hAnsi="Arial" w:cs="Arial"/>
              <w:noProof/>
            </w:rPr>
          </w:pPr>
          <w:hyperlink w:anchor="_Toc16492065" w:history="1">
            <w:r w:rsidRPr="009F0C98">
              <w:rPr>
                <w:rStyle w:val="Hyperlink"/>
                <w:rFonts w:ascii="Arial" w:hAnsi="Arial" w:cs="Arial"/>
                <w:noProof/>
              </w:rPr>
              <w:t>4.1 Modelo a ser utilizado</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_Toc16492065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38</w:t>
            </w:r>
            <w:r w:rsidRPr="009F0C98">
              <w:rPr>
                <w:rFonts w:ascii="Arial" w:hAnsi="Arial" w:cs="Arial"/>
                <w:noProof/>
                <w:webHidden/>
              </w:rPr>
              <w:fldChar w:fldCharType="end"/>
            </w:r>
          </w:hyperlink>
        </w:p>
        <w:p w14:paraId="77D3A8B6" w14:textId="486022C5" w:rsidR="009F0C98" w:rsidRPr="009F0C98" w:rsidRDefault="009F0C98">
          <w:pPr>
            <w:pStyle w:val="Sumrio2"/>
            <w:tabs>
              <w:tab w:val="right" w:leader="dot" w:pos="8488"/>
            </w:tabs>
            <w:rPr>
              <w:rFonts w:ascii="Arial" w:hAnsi="Arial" w:cs="Arial"/>
              <w:noProof/>
            </w:rPr>
          </w:pPr>
          <w:hyperlink w:anchor="_Toc16492066" w:history="1">
            <w:r w:rsidRPr="009F0C98">
              <w:rPr>
                <w:rStyle w:val="Hyperlink"/>
                <w:rFonts w:ascii="Arial" w:hAnsi="Arial" w:cs="Arial"/>
                <w:noProof/>
              </w:rPr>
              <w:t>4.2 Modelo econométrico de dados em painel estático</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_Toc16492066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40</w:t>
            </w:r>
            <w:r w:rsidRPr="009F0C98">
              <w:rPr>
                <w:rFonts w:ascii="Arial" w:hAnsi="Arial" w:cs="Arial"/>
                <w:noProof/>
                <w:webHidden/>
              </w:rPr>
              <w:fldChar w:fldCharType="end"/>
            </w:r>
          </w:hyperlink>
        </w:p>
        <w:p w14:paraId="0DFC463B" w14:textId="6C1334C4" w:rsidR="009F0C98" w:rsidRPr="009F0C98" w:rsidRDefault="009F0C98" w:rsidP="009F0C98">
          <w:pPr>
            <w:pStyle w:val="Sumrio1"/>
          </w:pPr>
          <w:hyperlink w:anchor="_Toc16492067" w:history="1">
            <w:r w:rsidRPr="009F0C98">
              <w:rPr>
                <w:rStyle w:val="Hyperlink"/>
              </w:rPr>
              <w:t>5. Análise dos Resultados</w:t>
            </w:r>
            <w:r w:rsidRPr="009F0C98">
              <w:rPr>
                <w:webHidden/>
              </w:rPr>
              <w:tab/>
            </w:r>
            <w:r w:rsidRPr="009F0C98">
              <w:rPr>
                <w:webHidden/>
              </w:rPr>
              <w:fldChar w:fldCharType="begin"/>
            </w:r>
            <w:r w:rsidRPr="009F0C98">
              <w:rPr>
                <w:webHidden/>
              </w:rPr>
              <w:instrText xml:space="preserve"> PAGEREF _Toc16492067 \h </w:instrText>
            </w:r>
            <w:r w:rsidRPr="009F0C98">
              <w:rPr>
                <w:webHidden/>
              </w:rPr>
            </w:r>
            <w:r w:rsidRPr="009F0C98">
              <w:rPr>
                <w:webHidden/>
              </w:rPr>
              <w:fldChar w:fldCharType="separate"/>
            </w:r>
            <w:r w:rsidR="00653DC9">
              <w:rPr>
                <w:webHidden/>
              </w:rPr>
              <w:t>44</w:t>
            </w:r>
            <w:r w:rsidRPr="009F0C98">
              <w:rPr>
                <w:webHidden/>
              </w:rPr>
              <w:fldChar w:fldCharType="end"/>
            </w:r>
          </w:hyperlink>
        </w:p>
        <w:p w14:paraId="221F0B0B" w14:textId="13613497" w:rsidR="009F0C98" w:rsidRPr="009F0C98" w:rsidRDefault="009F0C98">
          <w:pPr>
            <w:pStyle w:val="Sumrio2"/>
            <w:tabs>
              <w:tab w:val="right" w:leader="dot" w:pos="8488"/>
            </w:tabs>
            <w:rPr>
              <w:rFonts w:ascii="Arial" w:hAnsi="Arial" w:cs="Arial"/>
              <w:noProof/>
            </w:rPr>
          </w:pPr>
          <w:hyperlink w:anchor="_Toc16492068" w:history="1">
            <w:r w:rsidRPr="009F0C98">
              <w:rPr>
                <w:rStyle w:val="Hyperlink"/>
                <w:rFonts w:ascii="Arial" w:hAnsi="Arial" w:cs="Arial"/>
                <w:noProof/>
              </w:rPr>
              <w:t>5.1 Análise dos resultados de estatística descritiva</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_Toc16492068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44</w:t>
            </w:r>
            <w:r w:rsidRPr="009F0C98">
              <w:rPr>
                <w:rFonts w:ascii="Arial" w:hAnsi="Arial" w:cs="Arial"/>
                <w:noProof/>
                <w:webHidden/>
              </w:rPr>
              <w:fldChar w:fldCharType="end"/>
            </w:r>
          </w:hyperlink>
        </w:p>
        <w:p w14:paraId="1BF77506" w14:textId="7C8741C3" w:rsidR="009F0C98" w:rsidRPr="009F0C98" w:rsidRDefault="009F0C98">
          <w:pPr>
            <w:pStyle w:val="Sumrio2"/>
            <w:tabs>
              <w:tab w:val="right" w:leader="dot" w:pos="8488"/>
            </w:tabs>
            <w:rPr>
              <w:rFonts w:ascii="Arial" w:hAnsi="Arial" w:cs="Arial"/>
              <w:noProof/>
            </w:rPr>
          </w:pPr>
          <w:hyperlink w:anchor="_Toc16492069" w:history="1">
            <w:r w:rsidRPr="009F0C98">
              <w:rPr>
                <w:rStyle w:val="Hyperlink"/>
                <w:rFonts w:ascii="Arial" w:hAnsi="Arial" w:cs="Arial"/>
                <w:noProof/>
              </w:rPr>
              <w:t>5.2 Análise dos resultados econométricos</w:t>
            </w:r>
            <w:r w:rsidRPr="009F0C98">
              <w:rPr>
                <w:rFonts w:ascii="Arial" w:hAnsi="Arial" w:cs="Arial"/>
                <w:noProof/>
                <w:webHidden/>
              </w:rPr>
              <w:tab/>
            </w:r>
            <w:r w:rsidRPr="009F0C98">
              <w:rPr>
                <w:rFonts w:ascii="Arial" w:hAnsi="Arial" w:cs="Arial"/>
                <w:noProof/>
                <w:webHidden/>
              </w:rPr>
              <w:fldChar w:fldCharType="begin"/>
            </w:r>
            <w:r w:rsidRPr="009F0C98">
              <w:rPr>
                <w:rFonts w:ascii="Arial" w:hAnsi="Arial" w:cs="Arial"/>
                <w:noProof/>
                <w:webHidden/>
              </w:rPr>
              <w:instrText xml:space="preserve"> PAGEREF _Toc16492069 \h </w:instrText>
            </w:r>
            <w:r w:rsidRPr="009F0C98">
              <w:rPr>
                <w:rFonts w:ascii="Arial" w:hAnsi="Arial" w:cs="Arial"/>
                <w:noProof/>
                <w:webHidden/>
              </w:rPr>
            </w:r>
            <w:r w:rsidRPr="009F0C98">
              <w:rPr>
                <w:rFonts w:ascii="Arial" w:hAnsi="Arial" w:cs="Arial"/>
                <w:noProof/>
                <w:webHidden/>
              </w:rPr>
              <w:fldChar w:fldCharType="separate"/>
            </w:r>
            <w:r w:rsidR="00653DC9">
              <w:rPr>
                <w:rFonts w:ascii="Arial" w:hAnsi="Arial" w:cs="Arial"/>
                <w:noProof/>
                <w:webHidden/>
              </w:rPr>
              <w:t>49</w:t>
            </w:r>
            <w:r w:rsidRPr="009F0C98">
              <w:rPr>
                <w:rFonts w:ascii="Arial" w:hAnsi="Arial" w:cs="Arial"/>
                <w:noProof/>
                <w:webHidden/>
              </w:rPr>
              <w:fldChar w:fldCharType="end"/>
            </w:r>
          </w:hyperlink>
        </w:p>
        <w:p w14:paraId="7F511A5A" w14:textId="5E1E54E9" w:rsidR="009F0C98" w:rsidRPr="009F0C98" w:rsidRDefault="009F0C98" w:rsidP="009F0C98">
          <w:pPr>
            <w:pStyle w:val="Sumrio1"/>
          </w:pPr>
          <w:hyperlink w:anchor="_Toc16492070" w:history="1">
            <w:r w:rsidRPr="009F0C98">
              <w:rPr>
                <w:rStyle w:val="Hyperlink"/>
              </w:rPr>
              <w:t>6. Considerações finais e implicações de políticas</w:t>
            </w:r>
            <w:r w:rsidRPr="009F0C98">
              <w:rPr>
                <w:webHidden/>
              </w:rPr>
              <w:tab/>
            </w:r>
            <w:r w:rsidRPr="009F0C98">
              <w:rPr>
                <w:webHidden/>
              </w:rPr>
              <w:fldChar w:fldCharType="begin"/>
            </w:r>
            <w:r w:rsidRPr="009F0C98">
              <w:rPr>
                <w:webHidden/>
              </w:rPr>
              <w:instrText xml:space="preserve"> PAGEREF _Toc16492070 \h </w:instrText>
            </w:r>
            <w:r w:rsidRPr="009F0C98">
              <w:rPr>
                <w:webHidden/>
              </w:rPr>
            </w:r>
            <w:r w:rsidRPr="009F0C98">
              <w:rPr>
                <w:webHidden/>
              </w:rPr>
              <w:fldChar w:fldCharType="separate"/>
            </w:r>
            <w:r w:rsidR="00653DC9">
              <w:rPr>
                <w:webHidden/>
              </w:rPr>
              <w:t>59</w:t>
            </w:r>
            <w:r w:rsidRPr="009F0C98">
              <w:rPr>
                <w:webHidden/>
              </w:rPr>
              <w:fldChar w:fldCharType="end"/>
            </w:r>
          </w:hyperlink>
        </w:p>
        <w:p w14:paraId="656CF138" w14:textId="0BDAE6E4" w:rsidR="009F0C98" w:rsidRDefault="009F0C98" w:rsidP="009F0C98">
          <w:pPr>
            <w:pStyle w:val="Sumrio1"/>
            <w:rPr>
              <w:rFonts w:cstheme="minorBidi"/>
            </w:rPr>
          </w:pPr>
          <w:hyperlink w:anchor="_Toc16492071" w:history="1">
            <w:r w:rsidRPr="009F0C98">
              <w:rPr>
                <w:rStyle w:val="Hyperlink"/>
              </w:rPr>
              <w:t>Referências</w:t>
            </w:r>
            <w:r w:rsidRPr="009F0C98">
              <w:rPr>
                <w:webHidden/>
              </w:rPr>
              <w:tab/>
            </w:r>
            <w:r w:rsidRPr="009F0C98">
              <w:rPr>
                <w:webHidden/>
              </w:rPr>
              <w:fldChar w:fldCharType="begin"/>
            </w:r>
            <w:r w:rsidRPr="009F0C98">
              <w:rPr>
                <w:webHidden/>
              </w:rPr>
              <w:instrText xml:space="preserve"> PAGEREF _Toc16492071 \h </w:instrText>
            </w:r>
            <w:r w:rsidRPr="009F0C98">
              <w:rPr>
                <w:webHidden/>
              </w:rPr>
            </w:r>
            <w:r w:rsidRPr="009F0C98">
              <w:rPr>
                <w:webHidden/>
              </w:rPr>
              <w:fldChar w:fldCharType="separate"/>
            </w:r>
            <w:r w:rsidR="00653DC9">
              <w:rPr>
                <w:webHidden/>
              </w:rPr>
              <w:t>62</w:t>
            </w:r>
            <w:r w:rsidRPr="009F0C98">
              <w:rPr>
                <w:webHidden/>
              </w:rPr>
              <w:fldChar w:fldCharType="end"/>
            </w:r>
          </w:hyperlink>
        </w:p>
        <w:p w14:paraId="19046560" w14:textId="5F9F3F13" w:rsidR="00441005" w:rsidRDefault="009F0C98" w:rsidP="009F0C98">
          <w:pPr>
            <w:pStyle w:val="CabealhodoSumrio"/>
          </w:pPr>
          <w:r>
            <w:fldChar w:fldCharType="end"/>
          </w:r>
        </w:p>
      </w:sdtContent>
    </w:sdt>
    <w:p w14:paraId="5C0EF14F" w14:textId="77777777" w:rsidR="00441005" w:rsidRDefault="00441005">
      <w:pPr>
        <w:rPr>
          <w:rFonts w:ascii="Arial" w:eastAsiaTheme="majorEastAsia" w:hAnsi="Arial" w:cs="Arial"/>
          <w:b/>
          <w:bCs/>
          <w:spacing w:val="-10"/>
          <w:kern w:val="28"/>
          <w:sz w:val="32"/>
          <w:szCs w:val="32"/>
        </w:rPr>
      </w:pPr>
      <w:r>
        <w:br w:type="page"/>
      </w:r>
    </w:p>
    <w:p w14:paraId="6E49ED23" w14:textId="4DE818DF" w:rsidR="00605CE6" w:rsidRPr="00802836" w:rsidRDefault="001C33C3" w:rsidP="00802836">
      <w:pPr>
        <w:pStyle w:val="Ttulo"/>
      </w:pPr>
      <w:bookmarkStart w:id="1" w:name="_Toc16492053"/>
      <w:r w:rsidRPr="00802836">
        <w:lastRenderedPageBreak/>
        <w:t xml:space="preserve">1. </w:t>
      </w:r>
      <w:r w:rsidR="00147FDA" w:rsidRPr="00802836">
        <w:t>Introdução</w:t>
      </w:r>
      <w:bookmarkEnd w:id="1"/>
    </w:p>
    <w:p w14:paraId="251B3E12" w14:textId="77777777" w:rsidR="00B24002" w:rsidRPr="000C1019" w:rsidRDefault="00B24002" w:rsidP="00236D19">
      <w:pPr>
        <w:spacing w:line="360" w:lineRule="auto"/>
        <w:jc w:val="both"/>
        <w:rPr>
          <w:rFonts w:ascii="Arial" w:hAnsi="Arial" w:cs="Arial"/>
          <w:b/>
          <w:bCs/>
        </w:rPr>
      </w:pPr>
    </w:p>
    <w:p w14:paraId="2128F0D0" w14:textId="74A387B5" w:rsidR="001C33C3" w:rsidRPr="00802836" w:rsidRDefault="001C33C3" w:rsidP="00802836">
      <w:pPr>
        <w:pStyle w:val="Subttulo"/>
      </w:pPr>
      <w:bookmarkStart w:id="2" w:name="_Toc16492054"/>
      <w:r w:rsidRPr="00802836">
        <w:t>1.1 Tema</w:t>
      </w:r>
      <w:bookmarkEnd w:id="2"/>
      <w:r w:rsidR="003A0662" w:rsidRPr="00802836">
        <w:t xml:space="preserve"> </w:t>
      </w:r>
    </w:p>
    <w:p w14:paraId="3AAB1ED9" w14:textId="379F3324" w:rsidR="003A0662" w:rsidRDefault="003A0662" w:rsidP="00236D19">
      <w:pPr>
        <w:spacing w:line="360" w:lineRule="auto"/>
        <w:jc w:val="both"/>
        <w:rPr>
          <w:rFonts w:ascii="Arial" w:hAnsi="Arial" w:cs="Arial"/>
          <w:sz w:val="28"/>
        </w:rPr>
      </w:pPr>
    </w:p>
    <w:p w14:paraId="0F7A1EAF" w14:textId="6EC477D3" w:rsidR="0024352C" w:rsidRDefault="006A1B6E" w:rsidP="0024352C">
      <w:pPr>
        <w:spacing w:line="360" w:lineRule="auto"/>
        <w:ind w:firstLine="708"/>
        <w:jc w:val="both"/>
        <w:rPr>
          <w:rFonts w:ascii="Arial" w:hAnsi="Arial" w:cs="Arial"/>
        </w:rPr>
      </w:pPr>
      <w:r w:rsidRPr="006A1B6E">
        <w:rPr>
          <w:rFonts w:ascii="Arial" w:hAnsi="Arial" w:cs="Arial"/>
        </w:rPr>
        <w:t xml:space="preserve">De acordo com Tanzi (1995), o termo “descentralização fiscal” refere-se à devolução da autoridade </w:t>
      </w:r>
      <w:r w:rsidR="00B82A07">
        <w:rPr>
          <w:rFonts w:ascii="Arial" w:hAnsi="Arial" w:cs="Arial"/>
        </w:rPr>
        <w:t>sobre</w:t>
      </w:r>
      <w:r w:rsidR="00B82A07" w:rsidRPr="006A1B6E">
        <w:rPr>
          <w:rFonts w:ascii="Arial" w:hAnsi="Arial" w:cs="Arial"/>
        </w:rPr>
        <w:t xml:space="preserve"> </w:t>
      </w:r>
      <w:r w:rsidRPr="006A1B6E">
        <w:rPr>
          <w:rFonts w:ascii="Arial" w:hAnsi="Arial" w:cs="Arial"/>
        </w:rPr>
        <w:t>as finanças públicas e</w:t>
      </w:r>
      <w:r w:rsidR="00B82A07">
        <w:rPr>
          <w:rFonts w:ascii="Arial" w:hAnsi="Arial" w:cs="Arial"/>
        </w:rPr>
        <w:t xml:space="preserve"> sobre</w:t>
      </w:r>
      <w:r w:rsidRPr="006A1B6E">
        <w:rPr>
          <w:rFonts w:ascii="Arial" w:hAnsi="Arial" w:cs="Arial"/>
        </w:rPr>
        <w:t xml:space="preserve"> </w:t>
      </w:r>
      <w:r w:rsidR="00B82A07">
        <w:rPr>
          <w:rFonts w:ascii="Arial" w:hAnsi="Arial" w:cs="Arial"/>
        </w:rPr>
        <w:t>a</w:t>
      </w:r>
      <w:r w:rsidRPr="006A1B6E">
        <w:rPr>
          <w:rFonts w:ascii="Arial" w:hAnsi="Arial" w:cs="Arial"/>
        </w:rPr>
        <w:t xml:space="preserve"> prestação de serviços governamentais do nível nacional para os níveis subnacionais. Essa devolução está associada </w:t>
      </w:r>
      <w:r w:rsidR="00B82A07">
        <w:rPr>
          <w:rFonts w:ascii="Arial" w:hAnsi="Arial" w:cs="Arial"/>
        </w:rPr>
        <w:t>às</w:t>
      </w:r>
      <w:r w:rsidRPr="006A1B6E">
        <w:rPr>
          <w:rFonts w:ascii="Arial" w:hAnsi="Arial" w:cs="Arial"/>
        </w:rPr>
        <w:t xml:space="preserve"> quatro principais inter-relações entre níveis de governo em relação a questões fiscais, denominadas como sendo a responsabilidade por (</w:t>
      </w:r>
      <w:r w:rsidR="00292193">
        <w:rPr>
          <w:rFonts w:ascii="Arial" w:hAnsi="Arial" w:cs="Arial"/>
        </w:rPr>
        <w:t>1</w:t>
      </w:r>
      <w:r w:rsidRPr="006A1B6E">
        <w:rPr>
          <w:rFonts w:ascii="Arial" w:hAnsi="Arial" w:cs="Arial"/>
        </w:rPr>
        <w:t>) decisões de gastos; (</w:t>
      </w:r>
      <w:r w:rsidR="00292193">
        <w:rPr>
          <w:rFonts w:ascii="Arial" w:hAnsi="Arial" w:cs="Arial"/>
        </w:rPr>
        <w:t>2</w:t>
      </w:r>
      <w:r w:rsidRPr="006A1B6E">
        <w:rPr>
          <w:rFonts w:ascii="Arial" w:hAnsi="Arial" w:cs="Arial"/>
        </w:rPr>
        <w:t>) competências tributária e de aumento de receitas; (</w:t>
      </w:r>
      <w:r w:rsidR="00292193">
        <w:rPr>
          <w:rFonts w:ascii="Arial" w:hAnsi="Arial" w:cs="Arial"/>
        </w:rPr>
        <w:t>3</w:t>
      </w:r>
      <w:r w:rsidRPr="006A1B6E">
        <w:rPr>
          <w:rFonts w:ascii="Arial" w:hAnsi="Arial" w:cs="Arial"/>
        </w:rPr>
        <w:t>) empréstimos subnacionais; e (</w:t>
      </w:r>
      <w:r w:rsidR="00292193">
        <w:rPr>
          <w:rFonts w:ascii="Arial" w:hAnsi="Arial" w:cs="Arial"/>
        </w:rPr>
        <w:t>4</w:t>
      </w:r>
      <w:r w:rsidRPr="006A1B6E">
        <w:rPr>
          <w:rFonts w:ascii="Arial" w:hAnsi="Arial" w:cs="Arial"/>
        </w:rPr>
        <w:t>) transferências fiscais intergovernamentais.</w:t>
      </w:r>
      <w:r w:rsidR="0024352C">
        <w:rPr>
          <w:rFonts w:ascii="Arial" w:hAnsi="Arial" w:cs="Arial"/>
        </w:rPr>
        <w:t xml:space="preserve"> Por sua vez, Akai e Sakata (2002) definem descentralização fiscal como a devolução das responsabilidades fiscais aos níveis inferiores de governo, justamente o que ocorreu no Brasil a partir da Constituição de 1988.</w:t>
      </w:r>
    </w:p>
    <w:p w14:paraId="544CCA2B" w14:textId="3FE9F0B9" w:rsidR="006A1B6E" w:rsidRPr="006A1B6E" w:rsidRDefault="006A1B6E" w:rsidP="006A1B6E">
      <w:pPr>
        <w:spacing w:line="360" w:lineRule="auto"/>
        <w:ind w:firstLine="708"/>
        <w:jc w:val="both"/>
        <w:rPr>
          <w:rFonts w:ascii="Arial" w:hAnsi="Arial" w:cs="Arial"/>
        </w:rPr>
      </w:pPr>
      <w:r w:rsidRPr="006A1B6E">
        <w:rPr>
          <w:rFonts w:ascii="Arial" w:hAnsi="Arial" w:cs="Arial"/>
        </w:rPr>
        <w:t>Os argumentos favoráveis a respeito de um governo centralizado envolvem temas como o controle macroeconômico, a distribuição da renda e as disparidades regionais, os investimentos em infraestrutura, escala mínima, custos decrescentes, padrões mínimos para os serviços públicos, externalidades e dificuldades do desenho federativo.</w:t>
      </w:r>
      <w:r>
        <w:rPr>
          <w:rFonts w:ascii="Arial" w:hAnsi="Arial" w:cs="Arial"/>
        </w:rPr>
        <w:t xml:space="preserve"> </w:t>
      </w:r>
      <w:r w:rsidRPr="006A1B6E">
        <w:rPr>
          <w:rFonts w:ascii="Arial" w:hAnsi="Arial" w:cs="Arial"/>
        </w:rPr>
        <w:t>Por outro lado, os argumentos favoráveis ao governo descentralizado se pautam em aspectos relacionados ao favorecimento da eficiência alocativa, à promoção da competição no setor público, à redução do tamanho do governo, à urbanização crescente, ao maior número de “experiências públicas”, à ampliação da democracia e ao exercício da cidadania por meio do acompanhamento das receitas e das despesas governamentais, por exemplo.</w:t>
      </w:r>
    </w:p>
    <w:p w14:paraId="4DD740B9" w14:textId="38FE82BE" w:rsidR="002D7C90" w:rsidRDefault="002D7C90" w:rsidP="002D7C90">
      <w:pPr>
        <w:spacing w:line="360" w:lineRule="auto"/>
        <w:ind w:firstLine="708"/>
        <w:jc w:val="both"/>
        <w:rPr>
          <w:rFonts w:ascii="Arial" w:hAnsi="Arial" w:cs="Arial"/>
        </w:rPr>
      </w:pPr>
      <w:r>
        <w:rPr>
          <w:rFonts w:ascii="Arial" w:hAnsi="Arial" w:cs="Arial"/>
        </w:rPr>
        <w:t>Contudo, n</w:t>
      </w:r>
      <w:r w:rsidR="00A75217">
        <w:rPr>
          <w:rFonts w:ascii="Arial" w:hAnsi="Arial" w:cs="Arial"/>
        </w:rPr>
        <w:t>os anos recentes, pesquisadores e formuladores de políticas t</w:t>
      </w:r>
      <w:r w:rsidR="00B82A07">
        <w:rPr>
          <w:rFonts w:ascii="Arial" w:hAnsi="Arial" w:cs="Arial"/>
        </w:rPr>
        <w:t>ê</w:t>
      </w:r>
      <w:r w:rsidR="00A75217">
        <w:rPr>
          <w:rFonts w:ascii="Arial" w:hAnsi="Arial" w:cs="Arial"/>
        </w:rPr>
        <w:t xml:space="preserve">m demonstrado um crescente interesse na descentralização fiscal como sendo </w:t>
      </w:r>
      <w:r w:rsidR="00F97115">
        <w:rPr>
          <w:rFonts w:ascii="Arial" w:hAnsi="Arial" w:cs="Arial"/>
        </w:rPr>
        <w:t>estratégia efetiva</w:t>
      </w:r>
      <w:r w:rsidR="006A1B6E">
        <w:rPr>
          <w:rFonts w:ascii="Arial" w:hAnsi="Arial" w:cs="Arial"/>
        </w:rPr>
        <w:t xml:space="preserve"> para</w:t>
      </w:r>
      <w:r w:rsidR="00A75217">
        <w:rPr>
          <w:rFonts w:ascii="Arial" w:hAnsi="Arial" w:cs="Arial"/>
        </w:rPr>
        <w:t xml:space="preserve"> promover o crescimento econômico</w:t>
      </w:r>
      <w:r w:rsidR="006A1B6E">
        <w:rPr>
          <w:rFonts w:ascii="Arial" w:hAnsi="Arial" w:cs="Arial"/>
        </w:rPr>
        <w:t>, baseando-se nos seguintes</w:t>
      </w:r>
      <w:r w:rsidR="00A75217">
        <w:rPr>
          <w:rFonts w:ascii="Arial" w:hAnsi="Arial" w:cs="Arial"/>
        </w:rPr>
        <w:t xml:space="preserve"> argumentos econômicos básicos</w:t>
      </w:r>
      <w:r w:rsidR="006A1B6E">
        <w:rPr>
          <w:rFonts w:ascii="Arial" w:hAnsi="Arial" w:cs="Arial"/>
        </w:rPr>
        <w:t>:</w:t>
      </w:r>
      <w:r w:rsidR="00A75217">
        <w:rPr>
          <w:rFonts w:ascii="Arial" w:hAnsi="Arial" w:cs="Arial"/>
        </w:rPr>
        <w:t xml:space="preserve"> (1) a descentralização fiscal contribui para o aumento da eficiência econômica à medida</w:t>
      </w:r>
      <w:r w:rsidR="00B82A07">
        <w:rPr>
          <w:rFonts w:ascii="Arial" w:hAnsi="Arial" w:cs="Arial"/>
        </w:rPr>
        <w:t xml:space="preserve"> em</w:t>
      </w:r>
      <w:r w:rsidR="00A75217">
        <w:rPr>
          <w:rFonts w:ascii="Arial" w:hAnsi="Arial" w:cs="Arial"/>
        </w:rPr>
        <w:t xml:space="preserve"> que os governos </w:t>
      </w:r>
      <w:r w:rsidR="00A75217">
        <w:rPr>
          <w:rFonts w:ascii="Arial" w:hAnsi="Arial" w:cs="Arial"/>
        </w:rPr>
        <w:lastRenderedPageBreak/>
        <w:t xml:space="preserve">locais são capazes de prover melhores bens e serviços públicos devido à proximidade e vantagens informacionais; (2) a competição e mobilidade populacional entre governos locais para o fornecimento de bens e serviços públicos assegura a correspondência certa de preferências entre comunidades e governos locais (TIEBOUT, 1956). </w:t>
      </w:r>
    </w:p>
    <w:p w14:paraId="04C8672D" w14:textId="77777777" w:rsidR="00F0521A" w:rsidRDefault="00F0521A" w:rsidP="00F0521A">
      <w:pPr>
        <w:spacing w:line="360" w:lineRule="auto"/>
        <w:ind w:firstLine="708"/>
        <w:jc w:val="both"/>
        <w:rPr>
          <w:rFonts w:ascii="Arial" w:hAnsi="Arial" w:cs="Arial"/>
        </w:rPr>
      </w:pPr>
      <w:r>
        <w:rPr>
          <w:rFonts w:ascii="Arial" w:hAnsi="Arial" w:cs="Arial"/>
        </w:rPr>
        <w:t>Oates (1993) diz que há fortes razões para acreditar que políticas formuladas para fornecer infraestrutura e capital humano que são sensíveis às condições locais e regionais tendem a ser mais efetivas em encorajar o desenvolvimento econômico do que as políticas determinadas de forma central e ignoram as diferenças geográficas. Tal afirmação tem base na presunção de que os governos locais serão proativos em identificar as necessidades e buscar o bem-estar de sua população.</w:t>
      </w:r>
    </w:p>
    <w:p w14:paraId="710125D3" w14:textId="5414F22F" w:rsidR="002D7C90" w:rsidRDefault="002D7C90" w:rsidP="002D7C90">
      <w:pPr>
        <w:spacing w:line="360" w:lineRule="auto"/>
        <w:ind w:firstLine="708"/>
        <w:jc w:val="both"/>
        <w:rPr>
          <w:rFonts w:ascii="Arial" w:hAnsi="Arial" w:cs="Arial"/>
        </w:rPr>
      </w:pPr>
    </w:p>
    <w:p w14:paraId="6D8EC1FD" w14:textId="4DFA13E1" w:rsidR="002D7C90" w:rsidRPr="000C1019" w:rsidRDefault="002D7C90" w:rsidP="00802836">
      <w:pPr>
        <w:pStyle w:val="Subttulo"/>
      </w:pPr>
      <w:bookmarkStart w:id="3" w:name="_Toc16492055"/>
      <w:r w:rsidRPr="000C1019">
        <w:t>1.2 Problema de pesquisa</w:t>
      </w:r>
      <w:bookmarkEnd w:id="3"/>
      <w:r w:rsidRPr="000C1019">
        <w:t xml:space="preserve"> </w:t>
      </w:r>
    </w:p>
    <w:p w14:paraId="429BC985" w14:textId="634AFD35" w:rsidR="002D7C90" w:rsidRDefault="002D7C90" w:rsidP="002D7C90">
      <w:pPr>
        <w:spacing w:line="360" w:lineRule="auto"/>
        <w:ind w:firstLine="708"/>
        <w:jc w:val="both"/>
        <w:rPr>
          <w:rFonts w:ascii="Arial" w:hAnsi="Arial" w:cs="Arial"/>
        </w:rPr>
      </w:pPr>
    </w:p>
    <w:p w14:paraId="4EE0D523" w14:textId="0A9802E1" w:rsidR="00F97115" w:rsidRDefault="00F97115" w:rsidP="002D7C90">
      <w:pPr>
        <w:spacing w:line="360" w:lineRule="auto"/>
        <w:ind w:firstLine="708"/>
        <w:jc w:val="both"/>
        <w:rPr>
          <w:rFonts w:ascii="Arial" w:hAnsi="Arial" w:cs="Arial"/>
        </w:rPr>
      </w:pPr>
      <w:r>
        <w:rPr>
          <w:rFonts w:ascii="Arial" w:hAnsi="Arial" w:cs="Arial"/>
        </w:rPr>
        <w:t xml:space="preserve">O presente estudo procura responder ao seguinte questionamento: </w:t>
      </w:r>
      <w:r w:rsidR="00360E54">
        <w:rPr>
          <w:rFonts w:ascii="Arial" w:hAnsi="Arial" w:cs="Arial"/>
        </w:rPr>
        <w:t>qual é o impacto d</w:t>
      </w:r>
      <w:r>
        <w:rPr>
          <w:rFonts w:ascii="Arial" w:hAnsi="Arial" w:cs="Arial"/>
        </w:rPr>
        <w:t xml:space="preserve">a descentralização fiscal definida na Constituição Federal de 1988 </w:t>
      </w:r>
      <w:r w:rsidR="00360E54">
        <w:rPr>
          <w:rFonts w:ascii="Arial" w:hAnsi="Arial" w:cs="Arial"/>
        </w:rPr>
        <w:t>sobre o</w:t>
      </w:r>
      <w:r>
        <w:rPr>
          <w:rFonts w:ascii="Arial" w:hAnsi="Arial" w:cs="Arial"/>
        </w:rPr>
        <w:t xml:space="preserve"> crescimento econômico </w:t>
      </w:r>
      <w:r w:rsidR="00CC3262">
        <w:rPr>
          <w:rFonts w:ascii="Arial" w:hAnsi="Arial" w:cs="Arial"/>
        </w:rPr>
        <w:t>dos entes subnacionais no Brasil</w:t>
      </w:r>
      <w:r>
        <w:rPr>
          <w:rFonts w:ascii="Arial" w:hAnsi="Arial" w:cs="Arial"/>
        </w:rPr>
        <w:t xml:space="preserve">? </w:t>
      </w:r>
    </w:p>
    <w:p w14:paraId="7131817E" w14:textId="77777777" w:rsidR="002D7C90" w:rsidRDefault="002D7C90" w:rsidP="007B143A">
      <w:pPr>
        <w:spacing w:line="360" w:lineRule="auto"/>
        <w:ind w:firstLine="708"/>
        <w:jc w:val="both"/>
        <w:rPr>
          <w:rFonts w:ascii="Arial" w:hAnsi="Arial" w:cs="Arial"/>
        </w:rPr>
      </w:pPr>
    </w:p>
    <w:p w14:paraId="44CAD258" w14:textId="5BB2D274" w:rsidR="00030F86" w:rsidRPr="000C1019" w:rsidRDefault="00030F86" w:rsidP="00802836">
      <w:pPr>
        <w:pStyle w:val="Subttulo"/>
      </w:pPr>
      <w:bookmarkStart w:id="4" w:name="_Toc16492056"/>
      <w:r w:rsidRPr="000C1019">
        <w:t>1.3 Hipótese a ser testada</w:t>
      </w:r>
      <w:bookmarkEnd w:id="4"/>
      <w:r w:rsidRPr="000C1019">
        <w:t xml:space="preserve"> </w:t>
      </w:r>
    </w:p>
    <w:p w14:paraId="582F1DD8" w14:textId="6EDBC371" w:rsidR="002D7C90" w:rsidRDefault="002D7C90" w:rsidP="007B143A">
      <w:pPr>
        <w:spacing w:line="360" w:lineRule="auto"/>
        <w:ind w:firstLine="708"/>
        <w:jc w:val="both"/>
        <w:rPr>
          <w:rFonts w:ascii="Arial" w:hAnsi="Arial" w:cs="Arial"/>
        </w:rPr>
      </w:pPr>
    </w:p>
    <w:p w14:paraId="5B43E713" w14:textId="3A545017" w:rsidR="00360E54" w:rsidRDefault="00360E54" w:rsidP="00360E54">
      <w:pPr>
        <w:spacing w:line="360" w:lineRule="auto"/>
        <w:ind w:firstLine="708"/>
        <w:jc w:val="both"/>
        <w:rPr>
          <w:rFonts w:ascii="Arial" w:hAnsi="Arial" w:cs="Arial"/>
        </w:rPr>
      </w:pPr>
      <w:r>
        <w:rPr>
          <w:rFonts w:ascii="Arial" w:hAnsi="Arial" w:cs="Arial"/>
        </w:rPr>
        <w:t xml:space="preserve">Neste estudo, testa-se a hipótese de que o crescimento econômico </w:t>
      </w:r>
      <w:r w:rsidR="00CC3262">
        <w:rPr>
          <w:rFonts w:ascii="Arial" w:hAnsi="Arial" w:cs="Arial"/>
        </w:rPr>
        <w:t>dos entes subnacionais (Estados e Distrito Federal)</w:t>
      </w:r>
      <w:r>
        <w:rPr>
          <w:rFonts w:ascii="Arial" w:hAnsi="Arial" w:cs="Arial"/>
        </w:rPr>
        <w:t xml:space="preserve"> é influenciado pela maneira como se definiu a descentralização fiscal na Constituição Federal de 1988.</w:t>
      </w:r>
    </w:p>
    <w:p w14:paraId="16E88C1D" w14:textId="77777777" w:rsidR="00030F86" w:rsidRDefault="00030F86" w:rsidP="007B143A">
      <w:pPr>
        <w:spacing w:line="360" w:lineRule="auto"/>
        <w:ind w:firstLine="708"/>
        <w:jc w:val="both"/>
        <w:rPr>
          <w:rFonts w:ascii="Arial" w:hAnsi="Arial" w:cs="Arial"/>
        </w:rPr>
      </w:pPr>
    </w:p>
    <w:p w14:paraId="05C8648D" w14:textId="51C177DD" w:rsidR="00030F86" w:rsidRPr="000C1019" w:rsidRDefault="00030F86" w:rsidP="00802836">
      <w:pPr>
        <w:pStyle w:val="Subttulo"/>
      </w:pPr>
      <w:bookmarkStart w:id="5" w:name="_Toc16492057"/>
      <w:r w:rsidRPr="000C1019">
        <w:t>1.4 Objetivos geral e específicos</w:t>
      </w:r>
      <w:bookmarkEnd w:id="5"/>
      <w:r w:rsidRPr="000C1019">
        <w:t xml:space="preserve"> </w:t>
      </w:r>
    </w:p>
    <w:p w14:paraId="14D9A457" w14:textId="77777777" w:rsidR="002D7C90" w:rsidRDefault="002D7C90" w:rsidP="007B143A">
      <w:pPr>
        <w:spacing w:line="360" w:lineRule="auto"/>
        <w:ind w:firstLine="708"/>
        <w:jc w:val="both"/>
        <w:rPr>
          <w:rFonts w:ascii="Arial" w:hAnsi="Arial" w:cs="Arial"/>
        </w:rPr>
      </w:pPr>
    </w:p>
    <w:p w14:paraId="1FA345D3" w14:textId="16EA76C3" w:rsidR="0024352C" w:rsidRDefault="00CC3262" w:rsidP="0024352C">
      <w:pPr>
        <w:spacing w:line="360" w:lineRule="auto"/>
        <w:ind w:firstLine="708"/>
        <w:jc w:val="both"/>
        <w:rPr>
          <w:rFonts w:ascii="Arial" w:hAnsi="Arial" w:cs="Arial"/>
        </w:rPr>
      </w:pPr>
      <w:r w:rsidRPr="00A75217">
        <w:rPr>
          <w:rFonts w:ascii="Arial" w:hAnsi="Arial" w:cs="Arial"/>
        </w:rPr>
        <w:t>A maior parte da literatura sobre descentralização fiscal tende a enfatizar que</w:t>
      </w:r>
      <w:r>
        <w:rPr>
          <w:rFonts w:ascii="Arial" w:hAnsi="Arial" w:cs="Arial"/>
        </w:rPr>
        <w:t>,</w:t>
      </w:r>
      <w:r w:rsidRPr="00A75217">
        <w:rPr>
          <w:rFonts w:ascii="Arial" w:hAnsi="Arial" w:cs="Arial"/>
        </w:rPr>
        <w:t xml:space="preserve"> quanto maior a capacidade dos governos descentralizados </w:t>
      </w:r>
      <w:r>
        <w:rPr>
          <w:rFonts w:ascii="Arial" w:hAnsi="Arial" w:cs="Arial"/>
        </w:rPr>
        <w:t>em</w:t>
      </w:r>
      <w:r w:rsidRPr="00A75217">
        <w:rPr>
          <w:rFonts w:ascii="Arial" w:hAnsi="Arial" w:cs="Arial"/>
        </w:rPr>
        <w:t xml:space="preserve"> adaptar as políticas às preferências locais e de inovar na provisão de </w:t>
      </w:r>
      <w:r>
        <w:rPr>
          <w:rFonts w:ascii="Arial" w:hAnsi="Arial" w:cs="Arial"/>
        </w:rPr>
        <w:t>bens</w:t>
      </w:r>
      <w:r w:rsidRPr="00A75217">
        <w:rPr>
          <w:rFonts w:ascii="Arial" w:hAnsi="Arial" w:cs="Arial"/>
        </w:rPr>
        <w:t xml:space="preserve"> e serviços públicos, maior o potencial de eficiência econômica e crescimento. Há, no </w:t>
      </w:r>
      <w:r w:rsidRPr="00A75217">
        <w:rPr>
          <w:rFonts w:ascii="Arial" w:hAnsi="Arial" w:cs="Arial"/>
        </w:rPr>
        <w:lastRenderedPageBreak/>
        <w:t>entanto, pouca evidência empírica para substanciar essa afirmação</w:t>
      </w:r>
      <w:r>
        <w:rPr>
          <w:rFonts w:ascii="Arial" w:hAnsi="Arial" w:cs="Arial"/>
        </w:rPr>
        <w:t xml:space="preserve"> para o caso brasileiro</w:t>
      </w:r>
      <w:r w:rsidRPr="00A75217">
        <w:rPr>
          <w:rFonts w:ascii="Arial" w:hAnsi="Arial" w:cs="Arial"/>
        </w:rPr>
        <w:t xml:space="preserve">. </w:t>
      </w:r>
      <w:r>
        <w:rPr>
          <w:rFonts w:ascii="Arial" w:hAnsi="Arial" w:cs="Arial"/>
        </w:rPr>
        <w:t xml:space="preserve">Portanto, o presente estudo tem por objetivo geral analisar a </w:t>
      </w:r>
      <w:r w:rsidRPr="00A75217">
        <w:rPr>
          <w:rFonts w:ascii="Arial" w:hAnsi="Arial" w:cs="Arial"/>
        </w:rPr>
        <w:t>relação entre o nível de descentralização fiscal e o crescimento econômico</w:t>
      </w:r>
      <w:r>
        <w:rPr>
          <w:rFonts w:ascii="Arial" w:hAnsi="Arial" w:cs="Arial"/>
        </w:rPr>
        <w:t xml:space="preserve"> dos entes subnacionais no Brasil</w:t>
      </w:r>
      <w:r w:rsidRPr="00A75217">
        <w:rPr>
          <w:rFonts w:ascii="Arial" w:hAnsi="Arial" w:cs="Arial"/>
        </w:rPr>
        <w:t>.</w:t>
      </w:r>
      <w:r>
        <w:rPr>
          <w:rFonts w:ascii="Arial" w:hAnsi="Arial" w:cs="Arial"/>
        </w:rPr>
        <w:t xml:space="preserve"> </w:t>
      </w:r>
      <w:r w:rsidR="0024352C">
        <w:rPr>
          <w:rFonts w:ascii="Arial" w:hAnsi="Arial" w:cs="Arial"/>
        </w:rPr>
        <w:t xml:space="preserve">De forma específica, pretende-se avaliar a situação econômica dos entes subnacionais durante o período de 1995 a 2016 e verificar se o crescimento econômico </w:t>
      </w:r>
      <w:r w:rsidR="00B82A07">
        <w:rPr>
          <w:rFonts w:ascii="Arial" w:hAnsi="Arial" w:cs="Arial"/>
        </w:rPr>
        <w:t>deles</w:t>
      </w:r>
      <w:r w:rsidR="0024352C">
        <w:rPr>
          <w:rFonts w:ascii="Arial" w:hAnsi="Arial" w:cs="Arial"/>
        </w:rPr>
        <w:t xml:space="preserve"> tem sido afetado pelo atual arcabouço constitucional de descentralização fiscal.</w:t>
      </w:r>
    </w:p>
    <w:p w14:paraId="789FE478" w14:textId="56CAB73B" w:rsidR="0024352C" w:rsidRDefault="00CC3262" w:rsidP="0024352C">
      <w:pPr>
        <w:spacing w:line="360" w:lineRule="auto"/>
        <w:ind w:firstLine="708"/>
        <w:jc w:val="both"/>
        <w:rPr>
          <w:rFonts w:ascii="Arial" w:hAnsi="Arial" w:cs="Arial"/>
        </w:rPr>
      </w:pPr>
      <w:r>
        <w:rPr>
          <w:rFonts w:ascii="Arial" w:hAnsi="Arial" w:cs="Arial"/>
        </w:rPr>
        <w:t xml:space="preserve">Como objetivos específicos, determinados indicadores fiscais serão utilizados como </w:t>
      </w:r>
      <w:r w:rsidRPr="00443FD7">
        <w:rPr>
          <w:rFonts w:ascii="Arial" w:hAnsi="Arial" w:cs="Arial"/>
          <w:i/>
          <w:iCs/>
        </w:rPr>
        <w:t>proxies</w:t>
      </w:r>
      <w:r>
        <w:rPr>
          <w:rFonts w:ascii="Arial" w:hAnsi="Arial" w:cs="Arial"/>
        </w:rPr>
        <w:t xml:space="preserve"> para descentralização fiscal em modelos econométricos para dados em painel estático a serem estimados. Pretende-se também utilizar dados socioeconômicos dos Estados brasileiros nas estimações econométricas para avaliar o efeito da descentralização fiscal. </w:t>
      </w:r>
      <w:r w:rsidR="0024352C">
        <w:rPr>
          <w:rFonts w:ascii="Arial" w:hAnsi="Arial" w:cs="Arial"/>
        </w:rPr>
        <w:t>Assim, pretende-se usar técnica semelhante à utilizada por Akai e Sakata (2002) para comprovar se, no período estudado, a descentralização fiscal em vigência no Brasil afetou o crescimento econômico de cada macrorregião.</w:t>
      </w:r>
    </w:p>
    <w:p w14:paraId="3013F14B" w14:textId="1A9E5816" w:rsidR="002D7C90" w:rsidRDefault="002D7C90" w:rsidP="00030F86">
      <w:pPr>
        <w:spacing w:line="360" w:lineRule="auto"/>
        <w:jc w:val="both"/>
        <w:rPr>
          <w:rFonts w:ascii="Arial" w:hAnsi="Arial" w:cs="Arial"/>
        </w:rPr>
      </w:pPr>
    </w:p>
    <w:p w14:paraId="47834C34" w14:textId="38A08781" w:rsidR="00030F86" w:rsidRPr="000C1019" w:rsidRDefault="00030F86" w:rsidP="00802836">
      <w:pPr>
        <w:pStyle w:val="Subttulo"/>
      </w:pPr>
      <w:bookmarkStart w:id="6" w:name="_Toc16492058"/>
      <w:r w:rsidRPr="000C1019">
        <w:t>1.5 Justificativa do tema: relevância e contribuição</w:t>
      </w:r>
      <w:bookmarkEnd w:id="6"/>
      <w:r w:rsidRPr="000C1019">
        <w:t xml:space="preserve"> </w:t>
      </w:r>
    </w:p>
    <w:p w14:paraId="47A607BA" w14:textId="46289E90" w:rsidR="00030F86" w:rsidRDefault="00030F86" w:rsidP="00030F86">
      <w:pPr>
        <w:spacing w:line="360" w:lineRule="auto"/>
        <w:jc w:val="both"/>
        <w:rPr>
          <w:rFonts w:ascii="Arial" w:hAnsi="Arial" w:cs="Arial"/>
        </w:rPr>
      </w:pPr>
    </w:p>
    <w:p w14:paraId="396DBFBA" w14:textId="7C9A91CD" w:rsidR="0088266D" w:rsidRDefault="0088266D" w:rsidP="0088266D">
      <w:pPr>
        <w:spacing w:line="360" w:lineRule="auto"/>
        <w:jc w:val="both"/>
        <w:rPr>
          <w:rFonts w:ascii="Arial" w:hAnsi="Arial" w:cs="Arial"/>
        </w:rPr>
      </w:pPr>
      <w:r>
        <w:rPr>
          <w:rFonts w:ascii="Arial" w:hAnsi="Arial" w:cs="Arial"/>
        </w:rPr>
        <w:tab/>
        <w:t xml:space="preserve">Há indícios de que o nível de desenvolvimento da economia local tem papel importante em como se dá a relação entre descentralização fiscal e crescimento econômico. Além disso, apesar de haver certo consenso teórico de que a descentralização fiscal contribui para o crescimento econômico, alguns trabalhos que tentaram confirmar </w:t>
      </w:r>
      <w:r w:rsidR="00B82A07">
        <w:rPr>
          <w:rFonts w:ascii="Arial" w:hAnsi="Arial" w:cs="Arial"/>
        </w:rPr>
        <w:t xml:space="preserve">esta </w:t>
      </w:r>
      <w:r>
        <w:rPr>
          <w:rFonts w:ascii="Arial" w:hAnsi="Arial" w:cs="Arial"/>
        </w:rPr>
        <w:t>contribuição positiva não conseguiram. Nenhum deles foi capaz de verificar de forma precisa o potencial de contribuição.</w:t>
      </w:r>
    </w:p>
    <w:p w14:paraId="170497F2" w14:textId="29EA16F2" w:rsidR="0088266D" w:rsidRDefault="0088266D" w:rsidP="0088266D">
      <w:pPr>
        <w:spacing w:line="360" w:lineRule="auto"/>
        <w:ind w:firstLine="708"/>
        <w:jc w:val="both"/>
        <w:rPr>
          <w:rFonts w:ascii="Arial" w:hAnsi="Arial" w:cs="Arial"/>
        </w:rPr>
      </w:pPr>
      <w:r>
        <w:rPr>
          <w:rFonts w:ascii="Arial" w:hAnsi="Arial" w:cs="Arial"/>
        </w:rPr>
        <w:t xml:space="preserve">Oates (1993) argumenta que a descentralização fiscal, aparentemente, tem o potencial útil de influenciar o desenvolvimento econômico. Todavia, a tradução deste potencial em crescimento depende de algumas condições cruciais no que diz respeito à forma com que as instituições respondem ao nível de bem-estar local e de sua própria estrutura. Afirma-se que há um contraste considerável entre o nível de centralização fiscal dos países desenvolvidos e daqueles em desenvolvimento. Pelos índices fiscais utilizados no estudo, as </w:t>
      </w:r>
      <w:r>
        <w:rPr>
          <w:rFonts w:ascii="Arial" w:hAnsi="Arial" w:cs="Arial"/>
        </w:rPr>
        <w:lastRenderedPageBreak/>
        <w:t>nações em desenvolvimento apresentavam um nível de centralização muito maior do que os países industrializados. Entretanto, enquanto as diferenças de centralização fiscal entre países industrializados e em desenvolvimento são uma propriedade bem estabelecida da estrutura fiscal, o significado e as implicações delas não são muito claros. Por isto, o melhor entendimento dessas relações é importante e justifica o interesse no potencial que a descentralização fiscal tem em fomentar o crescimento econômico.</w:t>
      </w:r>
    </w:p>
    <w:p w14:paraId="427BD8D8" w14:textId="3005381A" w:rsidR="000C1019" w:rsidRDefault="000C1019" w:rsidP="000C1019">
      <w:pPr>
        <w:spacing w:line="360" w:lineRule="auto"/>
        <w:ind w:firstLine="708"/>
        <w:jc w:val="both"/>
        <w:rPr>
          <w:rFonts w:ascii="Arial" w:hAnsi="Arial" w:cs="Arial"/>
        </w:rPr>
      </w:pPr>
      <w:r>
        <w:rPr>
          <w:rFonts w:ascii="Arial" w:hAnsi="Arial" w:cs="Arial"/>
        </w:rPr>
        <w:t>O</w:t>
      </w:r>
      <w:r w:rsidRPr="00370F1F">
        <w:rPr>
          <w:rFonts w:ascii="Arial" w:hAnsi="Arial" w:cs="Arial"/>
        </w:rPr>
        <w:t xml:space="preserve"> crescimento econômico, interpretado como a variação positiva no PIB de uma economia é um aspecto desejável e perseguido pelos governos de forma geral. Por isso, entender como as decisões governamentais a respeito da alocação dos recursos disponíveis pode influenci</w:t>
      </w:r>
      <w:r w:rsidR="0047417C">
        <w:rPr>
          <w:rFonts w:ascii="Arial" w:hAnsi="Arial" w:cs="Arial"/>
        </w:rPr>
        <w:t>á-lo no nível</w:t>
      </w:r>
      <w:r>
        <w:rPr>
          <w:rFonts w:ascii="Arial" w:hAnsi="Arial" w:cs="Arial"/>
        </w:rPr>
        <w:t xml:space="preserve"> dos entes subnacionais</w:t>
      </w:r>
      <w:r w:rsidRPr="00370F1F">
        <w:rPr>
          <w:rFonts w:ascii="Arial" w:hAnsi="Arial" w:cs="Arial"/>
        </w:rPr>
        <w:t xml:space="preserve"> é </w:t>
      </w:r>
      <w:r>
        <w:rPr>
          <w:rFonts w:ascii="Arial" w:hAnsi="Arial" w:cs="Arial"/>
        </w:rPr>
        <w:t xml:space="preserve">relevante </w:t>
      </w:r>
      <w:r w:rsidRPr="00370F1F">
        <w:rPr>
          <w:rFonts w:ascii="Arial" w:hAnsi="Arial" w:cs="Arial"/>
        </w:rPr>
        <w:t>para a tomada de decisões</w:t>
      </w:r>
      <w:r>
        <w:rPr>
          <w:rFonts w:ascii="Arial" w:hAnsi="Arial" w:cs="Arial"/>
        </w:rPr>
        <w:t xml:space="preserve"> de políticas públicas</w:t>
      </w:r>
      <w:r w:rsidRPr="00370F1F">
        <w:rPr>
          <w:rFonts w:ascii="Arial" w:hAnsi="Arial" w:cs="Arial"/>
        </w:rPr>
        <w:t>.</w:t>
      </w:r>
      <w:r>
        <w:rPr>
          <w:rFonts w:ascii="Arial" w:hAnsi="Arial" w:cs="Arial"/>
        </w:rPr>
        <w:t xml:space="preserve"> </w:t>
      </w:r>
    </w:p>
    <w:p w14:paraId="415A8B85" w14:textId="57015D51" w:rsidR="000C1019" w:rsidRDefault="000C1019" w:rsidP="000C1019">
      <w:pPr>
        <w:spacing w:line="360" w:lineRule="auto"/>
        <w:ind w:firstLine="708"/>
        <w:jc w:val="both"/>
        <w:rPr>
          <w:rFonts w:ascii="Arial" w:hAnsi="Arial" w:cs="Arial"/>
        </w:rPr>
      </w:pPr>
      <w:r>
        <w:rPr>
          <w:rFonts w:ascii="Arial" w:hAnsi="Arial" w:cs="Arial"/>
        </w:rPr>
        <w:t>Apesar de existir uma previsão teórica amplamente aceita de que a descentralização fiscal contribui positivamente para o crescimento econômico, estudos realizados por alguns autores chegaram a um resultado contrário, vide os trabalhos de Zhang e Zou (</w:t>
      </w:r>
      <w:r w:rsidR="00292193">
        <w:rPr>
          <w:rFonts w:ascii="Arial" w:hAnsi="Arial" w:cs="Arial"/>
        </w:rPr>
        <w:t>1998</w:t>
      </w:r>
      <w:r>
        <w:rPr>
          <w:rFonts w:ascii="Arial" w:hAnsi="Arial" w:cs="Arial"/>
        </w:rPr>
        <w:t>), Davoodi</w:t>
      </w:r>
      <w:r w:rsidR="00292193">
        <w:rPr>
          <w:rFonts w:ascii="Arial" w:hAnsi="Arial" w:cs="Arial"/>
        </w:rPr>
        <w:t xml:space="preserve"> e Zou</w:t>
      </w:r>
      <w:r>
        <w:rPr>
          <w:rFonts w:ascii="Arial" w:hAnsi="Arial" w:cs="Arial"/>
        </w:rPr>
        <w:t xml:space="preserve"> (</w:t>
      </w:r>
      <w:r w:rsidR="00292193">
        <w:rPr>
          <w:rFonts w:ascii="Arial" w:hAnsi="Arial" w:cs="Arial"/>
        </w:rPr>
        <w:t>1998</w:t>
      </w:r>
      <w:r>
        <w:rPr>
          <w:rFonts w:ascii="Arial" w:hAnsi="Arial" w:cs="Arial"/>
        </w:rPr>
        <w:t>) e Xie</w:t>
      </w:r>
      <w:r w:rsidR="00292193">
        <w:rPr>
          <w:rFonts w:ascii="Arial" w:hAnsi="Arial" w:cs="Arial"/>
        </w:rPr>
        <w:t>, Zou e Davoodi (1999)</w:t>
      </w:r>
      <w:r>
        <w:rPr>
          <w:rFonts w:ascii="Arial" w:hAnsi="Arial" w:cs="Arial"/>
        </w:rPr>
        <w:t>.</w:t>
      </w:r>
    </w:p>
    <w:p w14:paraId="49A7425C" w14:textId="77777777" w:rsidR="000C1019" w:rsidRDefault="000C1019" w:rsidP="000C1019">
      <w:pPr>
        <w:spacing w:line="360" w:lineRule="auto"/>
        <w:jc w:val="both"/>
        <w:rPr>
          <w:rFonts w:ascii="Arial" w:hAnsi="Arial" w:cs="Arial"/>
        </w:rPr>
      </w:pPr>
      <w:r>
        <w:rPr>
          <w:rFonts w:ascii="Arial" w:hAnsi="Arial" w:cs="Arial"/>
        </w:rPr>
        <w:tab/>
        <w:t>Apesar de falharem em demonstrar a teoria, os métodos utilizados para a elaboração de cada um dos trabalhos aparentam ser válidos para o objetivo proposto, ou seja, é possível que os resultados tenham sido influenciados por outros fatores não considerados pelos autores, como o período analisado e características dos conjuntos de dados, por exemplo, comparar diferentes países sem levar em consideração diferenças relevantes entre eles.</w:t>
      </w:r>
    </w:p>
    <w:p w14:paraId="06858D61" w14:textId="4229F85C" w:rsidR="000C1019" w:rsidRPr="00370F1F" w:rsidRDefault="000C1019" w:rsidP="000C1019">
      <w:pPr>
        <w:tabs>
          <w:tab w:val="left" w:pos="2400"/>
        </w:tabs>
        <w:spacing w:line="360" w:lineRule="auto"/>
        <w:ind w:firstLine="708"/>
        <w:jc w:val="both"/>
        <w:rPr>
          <w:rFonts w:ascii="Arial" w:hAnsi="Arial" w:cs="Arial"/>
        </w:rPr>
      </w:pPr>
      <w:r w:rsidRPr="00370F1F">
        <w:rPr>
          <w:rFonts w:ascii="Arial" w:hAnsi="Arial" w:cs="Arial"/>
        </w:rPr>
        <w:t xml:space="preserve">No Brasil, estudos neste sentido têm analisado principalmente o efeito da descentralização fiscal no nível dos municípios. </w:t>
      </w:r>
      <w:r>
        <w:rPr>
          <w:rFonts w:ascii="Arial" w:hAnsi="Arial" w:cs="Arial"/>
        </w:rPr>
        <w:t>Mas h</w:t>
      </w:r>
      <w:r w:rsidRPr="00370F1F">
        <w:rPr>
          <w:rFonts w:ascii="Arial" w:hAnsi="Arial" w:cs="Arial"/>
        </w:rPr>
        <w:t xml:space="preserve">á ainda uma lacuna no que diz respeito à esfera estadual. Assim, este trabalho visa contribuir com o tema </w:t>
      </w:r>
      <w:r w:rsidR="0088266D">
        <w:rPr>
          <w:rFonts w:ascii="Arial" w:hAnsi="Arial" w:cs="Arial"/>
        </w:rPr>
        <w:t>ao avaliar</w:t>
      </w:r>
      <w:r w:rsidRPr="00370F1F">
        <w:rPr>
          <w:rFonts w:ascii="Arial" w:hAnsi="Arial" w:cs="Arial"/>
        </w:rPr>
        <w:t xml:space="preserve"> os efeitos da descentralização fiscal </w:t>
      </w:r>
      <w:r w:rsidR="0088266D">
        <w:rPr>
          <w:rFonts w:ascii="Arial" w:hAnsi="Arial" w:cs="Arial"/>
        </w:rPr>
        <w:t>sobre o crescimento econômico dos entes subnacionais, preenchendo assim uma lacuna existente na literatura brasileira sobre esse tema específico</w:t>
      </w:r>
      <w:r w:rsidRPr="00370F1F">
        <w:rPr>
          <w:rFonts w:ascii="Arial" w:hAnsi="Arial" w:cs="Arial"/>
        </w:rPr>
        <w:t>.</w:t>
      </w:r>
    </w:p>
    <w:p w14:paraId="3949C1CF" w14:textId="77777777" w:rsidR="004E0034" w:rsidRDefault="004E0034" w:rsidP="00030F86">
      <w:pPr>
        <w:spacing w:line="360" w:lineRule="auto"/>
        <w:jc w:val="both"/>
        <w:rPr>
          <w:rFonts w:ascii="Arial" w:hAnsi="Arial" w:cs="Arial"/>
        </w:rPr>
      </w:pPr>
    </w:p>
    <w:p w14:paraId="017B3F53" w14:textId="16643FF9" w:rsidR="00030F86" w:rsidRPr="000C1019" w:rsidRDefault="00030F86" w:rsidP="00802836">
      <w:pPr>
        <w:pStyle w:val="Subttulo"/>
      </w:pPr>
      <w:bookmarkStart w:id="7" w:name="_Toc16492059"/>
      <w:r w:rsidRPr="000C1019">
        <w:t>1.6 Delimitação do escopo do estudo</w:t>
      </w:r>
      <w:bookmarkEnd w:id="7"/>
      <w:r w:rsidRPr="000C1019">
        <w:t xml:space="preserve"> </w:t>
      </w:r>
    </w:p>
    <w:p w14:paraId="493526B0" w14:textId="77777777" w:rsidR="002D7C90" w:rsidRDefault="002D7C90" w:rsidP="007B143A">
      <w:pPr>
        <w:spacing w:line="360" w:lineRule="auto"/>
        <w:ind w:firstLine="708"/>
        <w:jc w:val="both"/>
        <w:rPr>
          <w:rFonts w:ascii="Arial" w:hAnsi="Arial" w:cs="Arial"/>
        </w:rPr>
      </w:pPr>
    </w:p>
    <w:p w14:paraId="20631417" w14:textId="73C18A09" w:rsidR="0024352C" w:rsidRDefault="0024352C" w:rsidP="0024352C">
      <w:pPr>
        <w:spacing w:line="360" w:lineRule="auto"/>
        <w:ind w:firstLine="708"/>
        <w:jc w:val="both"/>
      </w:pPr>
      <w:r>
        <w:rPr>
          <w:rFonts w:ascii="Arial" w:hAnsi="Arial" w:cs="Arial"/>
        </w:rPr>
        <w:t>Um dos desafios em realizar este tipo de estudo é a obtenção de uma série de dados confiável. Para este estudo, serão utilizadas informações fiscais dos entes subnacionais obtidas na Secretaria do Tesouro Nacional. Trata</w:t>
      </w:r>
      <w:r w:rsidR="0047417C">
        <w:rPr>
          <w:rFonts w:ascii="Arial" w:hAnsi="Arial" w:cs="Arial"/>
        </w:rPr>
        <w:t>m</w:t>
      </w:r>
      <w:r>
        <w:rPr>
          <w:rFonts w:ascii="Arial" w:hAnsi="Arial" w:cs="Arial"/>
        </w:rPr>
        <w:t>-se de dados auditados e ajustados de acordo com metodologia estabelecida no Programa de Reestruturação e de Ajuste Fiscal. Desta forma, tem-se uma base de dados confiável e a certeza de que os dados foram apurados segundo a mesma metodologia para todos os Estados avaliados. Além disso, os entes subnacionais serão agrupados segundo as macrorregiões Norte, Nordeste, Centro-oeste, Sudeste e Sul, pois espera-se que as diferenças sociais e culturais não sejam tão acentuadas entre os Estados de uma mesma região.</w:t>
      </w:r>
    </w:p>
    <w:p w14:paraId="5CD72CE5" w14:textId="77777777" w:rsidR="002D7C90" w:rsidRDefault="002D7C90" w:rsidP="007B143A">
      <w:pPr>
        <w:spacing w:line="360" w:lineRule="auto"/>
        <w:ind w:firstLine="708"/>
        <w:jc w:val="both"/>
        <w:rPr>
          <w:rFonts w:ascii="Arial" w:hAnsi="Arial" w:cs="Arial"/>
        </w:rPr>
      </w:pPr>
    </w:p>
    <w:p w14:paraId="0556AD37" w14:textId="77777777" w:rsidR="001C33C3" w:rsidRPr="0088266D" w:rsidRDefault="003A0662" w:rsidP="00802836">
      <w:pPr>
        <w:pStyle w:val="Ttulo"/>
      </w:pPr>
      <w:bookmarkStart w:id="8" w:name="_Toc16492060"/>
      <w:r w:rsidRPr="0088266D">
        <w:t xml:space="preserve">2. </w:t>
      </w:r>
      <w:r w:rsidR="001C33C3" w:rsidRPr="0088266D">
        <w:t>Fundamentação Teórica</w:t>
      </w:r>
      <w:bookmarkEnd w:id="8"/>
    </w:p>
    <w:p w14:paraId="0F4538C1" w14:textId="77777777" w:rsidR="0088266D" w:rsidRDefault="0088266D" w:rsidP="001C33C3">
      <w:pPr>
        <w:spacing w:line="360" w:lineRule="auto"/>
        <w:jc w:val="both"/>
        <w:rPr>
          <w:rFonts w:ascii="Arial" w:hAnsi="Arial" w:cs="Arial"/>
        </w:rPr>
      </w:pPr>
    </w:p>
    <w:p w14:paraId="45523399" w14:textId="1B9B8A79" w:rsidR="006A1B6E" w:rsidRPr="0088266D" w:rsidRDefault="006A1B6E" w:rsidP="00802836">
      <w:pPr>
        <w:pStyle w:val="Subttulo"/>
      </w:pPr>
      <w:bookmarkStart w:id="9" w:name="_Toc16492061"/>
      <w:r w:rsidRPr="0088266D">
        <w:t>2.1 Teoria da primeira geração do federalismo fiscal</w:t>
      </w:r>
      <w:bookmarkEnd w:id="9"/>
    </w:p>
    <w:p w14:paraId="391C0944" w14:textId="6D9F02E7" w:rsidR="006A1B6E" w:rsidRDefault="006A1B6E" w:rsidP="001C33C3">
      <w:pPr>
        <w:spacing w:line="360" w:lineRule="auto"/>
        <w:jc w:val="both"/>
        <w:rPr>
          <w:rFonts w:ascii="Arial" w:hAnsi="Arial" w:cs="Arial"/>
        </w:rPr>
      </w:pPr>
    </w:p>
    <w:p w14:paraId="3E521F22" w14:textId="24DFBD6D" w:rsidR="00F0521A" w:rsidRPr="00F0521A" w:rsidRDefault="00F0521A" w:rsidP="00F0521A">
      <w:pPr>
        <w:spacing w:line="360" w:lineRule="auto"/>
        <w:ind w:firstLine="708"/>
        <w:jc w:val="both"/>
        <w:rPr>
          <w:rFonts w:ascii="Arial" w:hAnsi="Arial" w:cs="Arial"/>
        </w:rPr>
      </w:pPr>
      <w:r w:rsidRPr="00F0521A">
        <w:rPr>
          <w:rFonts w:ascii="Arial" w:hAnsi="Arial" w:cs="Arial"/>
        </w:rPr>
        <w:t xml:space="preserve">A teoria tradicional do federalismo fiscal estabelece uma estrutura normativa geral para atribuições de funções aos diferentes níveis de governo e os instrumentos fiscais adequados para a realização dessas funções (OATES, 1972, 1999; MUSGRAVE, 1959). O argumento tradicional se baseia no fato de que a descentralização fiscal pode proporcionar uma maior eficiência econômica na alocação de recursos do setor público. Sob a hipótese de que as autoridades públicas respondem aos desejos de seus eleitores, os governos subnacionais são mais capazes de corresponder às diferentes preferências através das jurisdições. Essa teoria afirma que o governo central deve ser responsável pela função de estabilização macroeconômica e pela redistribuição de renda na forma de assistência à população pobre. O argumento básico é derivado de algumas restrições fundamentais nos níveis governamentais subnacionais. Na ausência </w:t>
      </w:r>
      <w:r w:rsidRPr="00F0521A">
        <w:rPr>
          <w:rFonts w:ascii="Arial" w:hAnsi="Arial" w:cs="Arial"/>
        </w:rPr>
        <w:lastRenderedPageBreak/>
        <w:t>de políticas monetária e cambial, assim como em economias abertas que não conseguem conter os impactos de um estímulo fiscal, províncias, estados e governos locais possuem limitações para o acompanhamento e controle macroeconômico de suas economias. De mesmo modo, a mobilidade de unidades econômicas pode restringir as tentativas de se redistribuir renda. Por exemplo, um programa governamental local de apoio às famílias de baixa renda poderá induzir um influxo da população pobre a esse programa e incentivar um êxodo da população de renda elevada, a qual paga uma maior carga tributária. Por outro lado, o governo central deve fornecer certos bens públicos nacionais, por exemplo, defesa nacional, que presta serviço a toda a população de um país.</w:t>
      </w:r>
    </w:p>
    <w:p w14:paraId="6F8121A2" w14:textId="7104FC67" w:rsidR="00F0521A" w:rsidRPr="00F0521A" w:rsidRDefault="00F0521A" w:rsidP="00F0521A">
      <w:pPr>
        <w:spacing w:line="360" w:lineRule="auto"/>
        <w:ind w:firstLine="708"/>
        <w:jc w:val="both"/>
        <w:rPr>
          <w:rFonts w:ascii="Arial" w:hAnsi="Arial" w:cs="Arial"/>
        </w:rPr>
      </w:pPr>
      <w:r w:rsidRPr="00F0521A">
        <w:rPr>
          <w:rFonts w:ascii="Arial" w:hAnsi="Arial" w:cs="Arial"/>
        </w:rPr>
        <w:t xml:space="preserve">A descentralização fiscal está associada às transferências de competências e responsabilidades fiscais do governo nacional aos governos subnacionais. Enquanto a centralização fiscal é uma resposta para as demandas de unidade nacional, a descentralização fiscal pode ser vista como uma resposta para as demandas por diversidade e </w:t>
      </w:r>
      <w:r w:rsidRPr="00292193">
        <w:rPr>
          <w:rFonts w:ascii="Arial" w:hAnsi="Arial" w:cs="Arial"/>
          <w:i/>
          <w:iCs/>
        </w:rPr>
        <w:t>accountability</w:t>
      </w:r>
      <w:r w:rsidRPr="00D94D11">
        <w:rPr>
          <w:rFonts w:ascii="Arial" w:hAnsi="Arial" w:cs="Arial"/>
          <w:vertAlign w:val="superscript"/>
        </w:rPr>
        <w:footnoteReference w:id="1"/>
      </w:r>
      <w:r w:rsidRPr="00F0521A">
        <w:rPr>
          <w:rFonts w:ascii="Arial" w:hAnsi="Arial" w:cs="Arial"/>
        </w:rPr>
        <w:t xml:space="preserve"> dentro de uma comunidade (VO, 2010). Acerca des</w:t>
      </w:r>
      <w:r w:rsidR="00F6057B">
        <w:rPr>
          <w:rFonts w:ascii="Arial" w:hAnsi="Arial" w:cs="Arial"/>
        </w:rPr>
        <w:t>t</w:t>
      </w:r>
      <w:r w:rsidRPr="00F0521A">
        <w:rPr>
          <w:rFonts w:ascii="Arial" w:hAnsi="Arial" w:cs="Arial"/>
        </w:rPr>
        <w:t>e tema, contribuições importantes foram feitas por Tiebout (1956), Musgrave (1959) e Oates (1972), a serem comentadas a seguir.</w:t>
      </w:r>
    </w:p>
    <w:p w14:paraId="47F42C3A" w14:textId="6753E883" w:rsidR="00F0521A" w:rsidRPr="00F0521A" w:rsidRDefault="00F0521A" w:rsidP="00F0521A">
      <w:pPr>
        <w:spacing w:line="360" w:lineRule="auto"/>
        <w:ind w:firstLine="708"/>
        <w:jc w:val="both"/>
        <w:rPr>
          <w:rFonts w:ascii="Arial" w:hAnsi="Arial" w:cs="Arial"/>
        </w:rPr>
      </w:pPr>
      <w:r w:rsidRPr="00F0521A">
        <w:rPr>
          <w:rFonts w:ascii="Arial" w:hAnsi="Arial" w:cs="Arial"/>
        </w:rPr>
        <w:t>Os estudos da primeira geração do federalismo fiscal se pautam na premissa de que cada nível governamental busca maximizar o bem-estar social dos seus respectivos cidadãos, ou seja, parte-se do pressuposto de que os agentes governamentais agem de forma benevolente na busca do interesse público. Nesse contexto, qual o papel adequado para cada instância de governo (</w:t>
      </w:r>
      <w:r w:rsidRPr="00292193">
        <w:rPr>
          <w:rFonts w:ascii="Arial" w:hAnsi="Arial" w:cs="Arial"/>
          <w:i/>
          <w:iCs/>
        </w:rPr>
        <w:t>assignment of functions</w:t>
      </w:r>
      <w:r w:rsidRPr="00F0521A">
        <w:rPr>
          <w:rFonts w:ascii="Arial" w:hAnsi="Arial" w:cs="Arial"/>
        </w:rPr>
        <w:t>)? Para os teóricos de primeira geração do federalismo fiscal, ao governo central cabe executar políticas macroeconômicas e de redistribuição de renda, assim como provisão de bens públicos nacionais. Mas os governos locais são responsáveis pela provisão de bens públicos locais.</w:t>
      </w:r>
    </w:p>
    <w:p w14:paraId="7D5187F4" w14:textId="77777777" w:rsidR="00F0521A" w:rsidRPr="00F0521A" w:rsidRDefault="00F0521A" w:rsidP="00F0521A">
      <w:pPr>
        <w:spacing w:line="360" w:lineRule="auto"/>
        <w:ind w:firstLine="708"/>
        <w:jc w:val="both"/>
        <w:rPr>
          <w:rFonts w:ascii="Arial" w:hAnsi="Arial" w:cs="Arial"/>
        </w:rPr>
      </w:pPr>
      <w:r w:rsidRPr="00F0521A">
        <w:rPr>
          <w:rFonts w:ascii="Arial" w:hAnsi="Arial" w:cs="Arial"/>
        </w:rPr>
        <w:t>E quais tributos devem ser arrecadados por cada instância de governo (</w:t>
      </w:r>
      <w:r w:rsidRPr="00292193">
        <w:rPr>
          <w:rFonts w:ascii="Arial" w:hAnsi="Arial" w:cs="Arial"/>
          <w:i/>
          <w:iCs/>
        </w:rPr>
        <w:t>tax-assignment</w:t>
      </w:r>
      <w:r w:rsidRPr="00F0521A">
        <w:rPr>
          <w:rFonts w:ascii="Arial" w:hAnsi="Arial" w:cs="Arial"/>
        </w:rPr>
        <w:t xml:space="preserve">)? A teoria de primeira geração defende que o governo central deve arrecadar os impostos sobre bases “móveis” e os impostos progressivos. </w:t>
      </w:r>
      <w:r w:rsidRPr="00F0521A">
        <w:rPr>
          <w:rFonts w:ascii="Arial" w:hAnsi="Arial" w:cs="Arial"/>
        </w:rPr>
        <w:lastRenderedPageBreak/>
        <w:t>Já os governos locais devem se basear em taxas, segundo o princípio do benefício.</w:t>
      </w:r>
    </w:p>
    <w:p w14:paraId="3BD9A882" w14:textId="190BD56A" w:rsidR="00F0521A" w:rsidRPr="00F0521A" w:rsidRDefault="00F0521A" w:rsidP="00F0521A">
      <w:pPr>
        <w:spacing w:line="360" w:lineRule="auto"/>
        <w:ind w:firstLine="708"/>
        <w:jc w:val="both"/>
        <w:rPr>
          <w:rFonts w:ascii="Arial" w:hAnsi="Arial" w:cs="Arial"/>
        </w:rPr>
      </w:pPr>
      <w:r w:rsidRPr="00F0521A">
        <w:rPr>
          <w:rFonts w:ascii="Arial" w:hAnsi="Arial" w:cs="Arial"/>
        </w:rPr>
        <w:t xml:space="preserve">O que fazer quando não há sincronia entre arrecadação e funções públicas entre os entes governamentais? O que fazer quando há externalidades na prestação e no consumo de serviços públicos? A resposta reside nas transferências intergovernamentais, </w:t>
      </w:r>
      <w:r w:rsidR="00A476BF">
        <w:rPr>
          <w:rFonts w:ascii="Arial" w:hAnsi="Arial" w:cs="Arial"/>
        </w:rPr>
        <w:t>nas quais</w:t>
      </w:r>
      <w:r w:rsidRPr="00F0521A">
        <w:rPr>
          <w:rFonts w:ascii="Arial" w:hAnsi="Arial" w:cs="Arial"/>
        </w:rPr>
        <w:t xml:space="preserve"> o governo central deve instituir as transferências ou os subsídios adequados para internalizar os problemas.</w:t>
      </w:r>
    </w:p>
    <w:p w14:paraId="28224949" w14:textId="77777777" w:rsidR="00F0521A" w:rsidRPr="00F0521A" w:rsidRDefault="00F0521A" w:rsidP="00F0521A">
      <w:pPr>
        <w:spacing w:line="360" w:lineRule="auto"/>
        <w:ind w:firstLine="708"/>
        <w:jc w:val="both"/>
        <w:rPr>
          <w:rFonts w:ascii="Arial" w:hAnsi="Arial" w:cs="Arial"/>
        </w:rPr>
      </w:pPr>
      <w:r w:rsidRPr="00F0521A">
        <w:rPr>
          <w:rFonts w:ascii="Arial" w:hAnsi="Arial" w:cs="Arial"/>
        </w:rPr>
        <w:t>As contribuições seminais feitas por Tiebout (1956), Musgrave (1959) e Oates (1972), a serem relatadas a seguir, representam os fundamentos para as discussões significativas sobre federalismo fiscal.</w:t>
      </w:r>
    </w:p>
    <w:p w14:paraId="058E8FEB" w14:textId="76070597" w:rsidR="00F0521A" w:rsidRPr="00F0521A" w:rsidRDefault="00F0521A" w:rsidP="00F0521A">
      <w:pPr>
        <w:spacing w:line="360" w:lineRule="auto"/>
        <w:ind w:firstLine="708"/>
        <w:jc w:val="both"/>
        <w:rPr>
          <w:rFonts w:ascii="Arial" w:hAnsi="Arial" w:cs="Arial"/>
        </w:rPr>
      </w:pPr>
      <w:r w:rsidRPr="00F0521A">
        <w:rPr>
          <w:rFonts w:ascii="Arial" w:hAnsi="Arial" w:cs="Arial"/>
        </w:rPr>
        <w:t>Musgrave (1959) apresentou a divisão das funções do estado na economia em alocativa, distributiva e estabilizadora. Es</w:t>
      </w:r>
      <w:r w:rsidR="00A476BF">
        <w:rPr>
          <w:rFonts w:ascii="Arial" w:hAnsi="Arial" w:cs="Arial"/>
        </w:rPr>
        <w:t>t</w:t>
      </w:r>
      <w:r w:rsidRPr="00F0521A">
        <w:rPr>
          <w:rFonts w:ascii="Arial" w:hAnsi="Arial" w:cs="Arial"/>
        </w:rPr>
        <w:t xml:space="preserve">as funções tornaram a representar os valores de referência a partir do qual questões em economia do setor público têm sido tratadas nos estudos de primeira geração de descentralização fiscal. Na perspectiva específica de finanças públicas sobre federalismo fiscal, as funções musgravianas mostraram-se úteis na determinação das restrições à descentralização fiscal (estabilização e distribuição) e </w:t>
      </w:r>
      <w:r w:rsidR="00A476BF">
        <w:rPr>
          <w:rFonts w:ascii="Arial" w:hAnsi="Arial" w:cs="Arial"/>
        </w:rPr>
        <w:t>a</w:t>
      </w:r>
      <w:r w:rsidRPr="00F0521A">
        <w:rPr>
          <w:rFonts w:ascii="Arial" w:hAnsi="Arial" w:cs="Arial"/>
        </w:rPr>
        <w:t>os benefícios potenciais de descentralização fiscal (eficiência).</w:t>
      </w:r>
    </w:p>
    <w:p w14:paraId="4933E929" w14:textId="77777777" w:rsidR="00F0521A" w:rsidRPr="00F0521A" w:rsidRDefault="00F0521A" w:rsidP="00F0521A">
      <w:pPr>
        <w:spacing w:line="360" w:lineRule="auto"/>
        <w:ind w:firstLine="708"/>
        <w:jc w:val="both"/>
        <w:rPr>
          <w:rFonts w:ascii="Arial" w:hAnsi="Arial" w:cs="Arial"/>
        </w:rPr>
      </w:pPr>
      <w:r w:rsidRPr="00F0521A">
        <w:rPr>
          <w:rFonts w:ascii="Arial" w:hAnsi="Arial" w:cs="Arial"/>
        </w:rPr>
        <w:t xml:space="preserve">A primeira função a ser estudada está associada à estabilização macroeconômica, em que as políticas fiscal e monetária podem contribuir para o desenvolvimento econômico estável. A função estabilizadora do governo concentra seus esforços na manutenção de um alto nível de utilização de recursos e de um valor estável da moeda. O objetivo principal da intervenção do governo é controlar a demanda agregada, através, por exemplo, de políticas fiscais restritivas voltadas ao controle dos gastos públicos e ao aumento da tributação, de forma que o impacto causado por crises inflacionárias ou por recessões seja atenuado. Com isso, concentram-se seus esforços na manutenção de um alto nível de utilização de recursos e na manutenção da estabilidade da moeda. Portanto, trata-se da política que diz respeito aos níveis desejados de produção, emprego, preços e equilíbrio do balanço de pagamentos, para uma dada capacidade produtiva. Para citar alguns exemplos, </w:t>
      </w:r>
      <w:r w:rsidRPr="00F0521A">
        <w:rPr>
          <w:rFonts w:ascii="Arial" w:hAnsi="Arial" w:cs="Arial"/>
        </w:rPr>
        <w:lastRenderedPageBreak/>
        <w:t>pode-se identificar a busca pela estabilidade na economia brasileira que levou a criação do Plano Real e a implantação da Lei de Responsabilidade Fiscal (LRF).</w:t>
      </w:r>
    </w:p>
    <w:p w14:paraId="6784ABF9" w14:textId="066E7A01" w:rsidR="00F0521A" w:rsidRPr="00F0521A" w:rsidRDefault="00F0521A" w:rsidP="00F0521A">
      <w:pPr>
        <w:spacing w:line="360" w:lineRule="auto"/>
        <w:ind w:firstLine="708"/>
        <w:jc w:val="both"/>
        <w:rPr>
          <w:rFonts w:ascii="Arial" w:hAnsi="Arial" w:cs="Arial"/>
        </w:rPr>
      </w:pPr>
      <w:r w:rsidRPr="00F0521A">
        <w:rPr>
          <w:rFonts w:ascii="Arial" w:hAnsi="Arial" w:cs="Arial"/>
        </w:rPr>
        <w:t>Todavia, uma questão-chave para a teoria econômica é se a descentralização fiscal aumenta ou diminui a estabilidade econômica, assim como se compromete as metas macroeconômicas gerais dos governos. A visão prevalecente entre os teóricos da primeira geração é clara: a descentralização fiscal não serve para reforçar o objetivo de estabilização macroeconômica; ao invés dis</w:t>
      </w:r>
      <w:r w:rsidR="006F4A63">
        <w:rPr>
          <w:rFonts w:ascii="Arial" w:hAnsi="Arial" w:cs="Arial"/>
        </w:rPr>
        <w:t>t</w:t>
      </w:r>
      <w:r w:rsidRPr="00F0521A">
        <w:rPr>
          <w:rFonts w:ascii="Arial" w:hAnsi="Arial" w:cs="Arial"/>
        </w:rPr>
        <w:t>o, a estabilização macroeconômica representa uma restrição no grau de factibilidade para que as competências fiscais possam ser delegadas aos governos subnacionais (OATES, 1972).</w:t>
      </w:r>
    </w:p>
    <w:p w14:paraId="67C666BE" w14:textId="5E49FD45" w:rsidR="00F0521A" w:rsidRPr="00F0521A" w:rsidRDefault="00F0521A" w:rsidP="00F0521A">
      <w:pPr>
        <w:spacing w:line="360" w:lineRule="auto"/>
        <w:ind w:firstLine="708"/>
        <w:jc w:val="both"/>
        <w:rPr>
          <w:rFonts w:ascii="Arial" w:hAnsi="Arial" w:cs="Arial"/>
        </w:rPr>
      </w:pPr>
      <w:r w:rsidRPr="00F0521A">
        <w:rPr>
          <w:rFonts w:ascii="Arial" w:hAnsi="Arial" w:cs="Arial"/>
        </w:rPr>
        <w:t>A segunda função da economia do setor público refere-se à distribuição de renda. Bens econômicos são produzidos e os governos exercem algum papel em modificar a distribuição de bens determinada no mercado entre os membros de uma dada sociedade. Em vista disso, a função distributiva do governo está voltada para a</w:t>
      </w:r>
      <w:r w:rsidR="006F4A63">
        <w:rPr>
          <w:rFonts w:ascii="Arial" w:hAnsi="Arial" w:cs="Arial"/>
        </w:rPr>
        <w:t xml:space="preserve"> sua</w:t>
      </w:r>
      <w:r w:rsidRPr="00F0521A">
        <w:rPr>
          <w:rFonts w:ascii="Arial" w:hAnsi="Arial" w:cs="Arial"/>
        </w:rPr>
        <w:t xml:space="preserve"> necessidade em intervir na economia para tentar corrigir a desigualdade existente na distribuição da renda que, normalmente, não é igualitária. Um dos processos utilizados com vistas a tal objetivo consiste em utilizar o sistema tributário e a política de gastos governamentais. De maneira específica, o governo pode utilizar impostos com alíquotas progressivas com o objetivo de impor maior ônus tributário às pessoas que auferem maior renda. Além disso, políticas de bem-estar social devem ter como alvo a população de baixa renda, por exemplo, os programas de transferência de renda como o Bolsa Família. A adoção de programas de transferência condicionada de renda também vem apresentando bons resultados sociais em países como o México (Programa Oportunidades) e o Chile (Programa Chile Solidário). Portanto, trata-se da política que busca equidade da economia pública.</w:t>
      </w:r>
    </w:p>
    <w:p w14:paraId="41606775" w14:textId="6A65BF85" w:rsidR="00F0521A" w:rsidRPr="00F0521A" w:rsidRDefault="00F0521A" w:rsidP="00F0521A">
      <w:pPr>
        <w:spacing w:line="360" w:lineRule="auto"/>
        <w:ind w:firstLine="708"/>
        <w:jc w:val="both"/>
        <w:rPr>
          <w:rFonts w:ascii="Arial" w:hAnsi="Arial" w:cs="Arial"/>
        </w:rPr>
      </w:pPr>
      <w:r w:rsidRPr="00F0521A">
        <w:rPr>
          <w:rFonts w:ascii="Arial" w:hAnsi="Arial" w:cs="Arial"/>
        </w:rPr>
        <w:t xml:space="preserve">Contudo, nota-se que a descentralização fiscal não tende a contribuir no avanço dos objetivos da sociedade em relação à distribuição de renda porque a interdependência econômica entre as economias de jurisdições subnacionais age de forma a reduzir qualquer diversidade na distribuição de bens que poderia existir entre os níveis inferiores de governo. Na ausência de diversidade nos </w:t>
      </w:r>
      <w:r w:rsidRPr="00F0521A">
        <w:rPr>
          <w:rFonts w:ascii="Arial" w:hAnsi="Arial" w:cs="Arial"/>
        </w:rPr>
        <w:lastRenderedPageBreak/>
        <w:t>objetivos de redistribuição de renda entre os governos subnacionais, se a demanda por redistribuição for uniforme em nível nacional, a atribuição da responsabilidade pela redistribuição aos governos subnacionais está fragilizada. Em vista disso, uma política de redistribuição de renda tem uma maior chance de sucesso se for realizada ao nível nacional (OATES, 1972).</w:t>
      </w:r>
    </w:p>
    <w:p w14:paraId="2A6DC494" w14:textId="43A8F356" w:rsidR="00F0521A" w:rsidRPr="00F0521A" w:rsidRDefault="00F0521A" w:rsidP="00F0521A">
      <w:pPr>
        <w:spacing w:line="360" w:lineRule="auto"/>
        <w:ind w:firstLine="708"/>
        <w:jc w:val="both"/>
        <w:rPr>
          <w:rFonts w:ascii="Arial" w:hAnsi="Arial" w:cs="Arial"/>
        </w:rPr>
      </w:pPr>
      <w:r w:rsidRPr="00F0521A">
        <w:rPr>
          <w:rFonts w:ascii="Arial" w:hAnsi="Arial" w:cs="Arial"/>
        </w:rPr>
        <w:t>A função alocativa do governo está associada ao fornecimento de bens e serviços não oferecidos adequadamente pelo sistema de mercado. Em outras palavras, essa função tem o objetivo de alocar os recursos quando não seja possível, pelas condições de mercado, a determinação de preços de bens e serviços de forma a assegurar uma maior eficiência na utilização dos recursos disponíveis na economia. Por exemplo, a construção de estradas, que contribu</w:t>
      </w:r>
      <w:r w:rsidR="006F4A63">
        <w:rPr>
          <w:rFonts w:ascii="Arial" w:hAnsi="Arial" w:cs="Arial"/>
        </w:rPr>
        <w:t>em</w:t>
      </w:r>
      <w:r w:rsidRPr="00F0521A">
        <w:rPr>
          <w:rFonts w:ascii="Arial" w:hAnsi="Arial" w:cs="Arial"/>
        </w:rPr>
        <w:t xml:space="preserve"> para a expansão econômica de determinada região. Nos casos em que se verifiquem falhas no mercado competitivo, como as externalidades, assimetria de informação ou bens públicos, seria necessária a intervenção do Estado para promover uma alocação de recursos mais satisfatória. </w:t>
      </w:r>
    </w:p>
    <w:p w14:paraId="501B29C5" w14:textId="438BFC37" w:rsidR="00F0521A" w:rsidRDefault="00F0521A" w:rsidP="00F0521A">
      <w:pPr>
        <w:spacing w:line="360" w:lineRule="auto"/>
        <w:ind w:firstLine="708"/>
        <w:jc w:val="both"/>
        <w:rPr>
          <w:rFonts w:ascii="Arial" w:hAnsi="Arial" w:cs="Arial"/>
        </w:rPr>
      </w:pPr>
      <w:r w:rsidRPr="00F0521A">
        <w:rPr>
          <w:rFonts w:ascii="Arial" w:hAnsi="Arial" w:cs="Arial"/>
        </w:rPr>
        <w:t xml:space="preserve">Assim, é na última função da economia pública, a alocação de recursos, </w:t>
      </w:r>
      <w:r w:rsidR="00292193">
        <w:rPr>
          <w:rFonts w:ascii="Arial" w:hAnsi="Arial" w:cs="Arial"/>
        </w:rPr>
        <w:t>que</w:t>
      </w:r>
      <w:r w:rsidRPr="00F0521A">
        <w:rPr>
          <w:rFonts w:ascii="Arial" w:hAnsi="Arial" w:cs="Arial"/>
        </w:rPr>
        <w:t xml:space="preserve"> a importância da descentralização fiscal emerge nos estudos dos teóricos da primeira geração por duas razões. Primeiro, a escassez de recursos deve ser </w:t>
      </w:r>
      <w:r w:rsidR="00E87344">
        <w:rPr>
          <w:rFonts w:ascii="Arial" w:hAnsi="Arial" w:cs="Arial"/>
        </w:rPr>
        <w:t>gerenciada</w:t>
      </w:r>
      <w:r w:rsidR="00E87344" w:rsidRPr="00F0521A">
        <w:rPr>
          <w:rFonts w:ascii="Arial" w:hAnsi="Arial" w:cs="Arial"/>
        </w:rPr>
        <w:t xml:space="preserve"> </w:t>
      </w:r>
      <w:r w:rsidRPr="00F0521A">
        <w:rPr>
          <w:rFonts w:ascii="Arial" w:hAnsi="Arial" w:cs="Arial"/>
        </w:rPr>
        <w:t xml:space="preserve">de maneira eficiente sob um sistema de descentralização fiscal, e os governos subnacionais podem estar em uma melhor posição em entender como maximizar os benefícios do uso de recursos em sua localidade. Segundo, a característica de bens públicos locais ou impuros acrescenta uma dimensão local do congestionamento à prestação de serviços que os governos nacionais não podem estar bem posicionados para gerenciar. Em resumo, se a dimensão local de bens públicos é ignorada, a provisão de tais bens no mesmo nível entre todas as regiões irá comprometer a eficiência quando as preferências por bens públicos locais diferir por regiões, jurisdições ou níveis de governo. Como resultado, os governos subnacionais possuem o potencial de exercer um maior papel na alocação eficiente dos recursos. Nesta função do governo, a intenção em mobilizar recursos de maneira regional é reconhecida de tal modo que as </w:t>
      </w:r>
      <w:r w:rsidRPr="00F0521A">
        <w:rPr>
          <w:rFonts w:ascii="Arial" w:hAnsi="Arial" w:cs="Arial"/>
        </w:rPr>
        <w:lastRenderedPageBreak/>
        <w:t>preferências das famílias heterogêneas podem ser mais bem atendidas (VO, 2010).</w:t>
      </w:r>
    </w:p>
    <w:p w14:paraId="5058DD35" w14:textId="77777777" w:rsidR="004E0034" w:rsidRPr="00F0521A" w:rsidRDefault="004E0034" w:rsidP="00F0521A">
      <w:pPr>
        <w:spacing w:line="360" w:lineRule="auto"/>
        <w:ind w:firstLine="708"/>
        <w:jc w:val="both"/>
        <w:rPr>
          <w:rFonts w:ascii="Arial" w:hAnsi="Arial" w:cs="Arial"/>
        </w:rPr>
      </w:pPr>
    </w:p>
    <w:p w14:paraId="2C35D673" w14:textId="77777777" w:rsidR="00F0521A" w:rsidRPr="00F0521A" w:rsidRDefault="00F0521A" w:rsidP="00F0521A">
      <w:pPr>
        <w:spacing w:line="360" w:lineRule="auto"/>
        <w:ind w:firstLine="708"/>
        <w:jc w:val="both"/>
        <w:rPr>
          <w:rFonts w:ascii="Arial" w:hAnsi="Arial" w:cs="Arial"/>
        </w:rPr>
      </w:pPr>
      <w:r w:rsidRPr="00F0521A">
        <w:rPr>
          <w:rFonts w:ascii="Arial" w:hAnsi="Arial" w:cs="Arial"/>
        </w:rPr>
        <w:t>De acordo com VO (2010, p. 660):</w:t>
      </w:r>
    </w:p>
    <w:p w14:paraId="142FD3E5" w14:textId="77777777" w:rsidR="00F0521A" w:rsidRDefault="00F0521A" w:rsidP="00F0521A">
      <w:pPr>
        <w:spacing w:line="360" w:lineRule="auto"/>
        <w:ind w:left="2268"/>
        <w:jc w:val="both"/>
        <w:rPr>
          <w:rFonts w:ascii="Arial" w:hAnsi="Arial" w:cs="Arial"/>
        </w:rPr>
      </w:pPr>
    </w:p>
    <w:p w14:paraId="3D1E59C3" w14:textId="62B9FD1B" w:rsidR="00F0521A" w:rsidRPr="00F0521A" w:rsidRDefault="00F0521A" w:rsidP="00F0521A">
      <w:pPr>
        <w:spacing w:line="360" w:lineRule="auto"/>
        <w:ind w:left="2268"/>
        <w:jc w:val="both"/>
        <w:rPr>
          <w:rFonts w:ascii="Arial" w:hAnsi="Arial" w:cs="Arial"/>
        </w:rPr>
      </w:pPr>
      <w:r w:rsidRPr="00F0521A">
        <w:rPr>
          <w:rFonts w:ascii="Arial" w:hAnsi="Arial" w:cs="Arial"/>
        </w:rPr>
        <w:t xml:space="preserve">“na estrutura musgraviana, a teoria de primeira geração do federalismo fiscal enfatiza o ramo da economia pública preocupada com a eficiência da alocação de recursos. Quando a teoria da primeira geração considera a descentralização fiscal, como na atribuição da responsabilidade de despesas governamentais e competência de se elevar a receita tributária, destina-se a obter a alocação eficiente de recursos que maximizem o bem-estar dos eleitores. Além disso, sistemas de transferências fiscais intergovernamentais do governo nacional aos governos subnacionais, assim como a autonomia de empréstimos de governos subnacionais também são discutidos de forma semelhante na teoria de primeira geração dos governos subnacionais. Enquanto que os ramos das finanças públicas preocupados com a estabilização macroeconômica (para manter uma economia em níveis elevados de emprego e estabilidade do nível de preços) e a distribuição de renda (para alcançar as equidades horizontal e vertical de uma maneira que evite a ineficiência, assim como para evitar a mobilidade das famílias e empresas através das jurisdições) são considerados dentro da teoria de primeira geração de descentralização fiscal, esses ramos são considerados, de </w:t>
      </w:r>
      <w:r w:rsidRPr="00F0521A">
        <w:rPr>
          <w:rFonts w:ascii="Arial" w:hAnsi="Arial" w:cs="Arial"/>
        </w:rPr>
        <w:lastRenderedPageBreak/>
        <w:t>modo geral, como secundários para o grau de descentralização fiscal”.</w:t>
      </w:r>
    </w:p>
    <w:p w14:paraId="2F5C34F1" w14:textId="7F67DD2F" w:rsidR="00F0521A" w:rsidRDefault="00F0521A" w:rsidP="001C33C3">
      <w:pPr>
        <w:spacing w:line="360" w:lineRule="auto"/>
        <w:jc w:val="both"/>
        <w:rPr>
          <w:rFonts w:ascii="Arial" w:hAnsi="Arial" w:cs="Arial"/>
        </w:rPr>
      </w:pPr>
    </w:p>
    <w:p w14:paraId="6E415BDF" w14:textId="77777777"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Samuelson (1954) define que bens públicos puros são não excludentes e não rivais no consumo. O termo “não excludente” significa que, uma vez que os bens públicos são produzidos, ninguém pode ser excluído de seu consumo. Já o termo “não rival” exige que os benefícios marginais que qualquer consumidor deriva do consumo de bens públicos não muda se o número de consumidores aumenta. A defesa nacional é um exemplo clássico de bem público puro, no qual uma vez que o serviço é produzido, é impossível, ou ao menos ineficiente, excluir qualquer pessoa na comunidade de seu consumo. Além disso, pode-se elevar o número de residentes em uma jurisdição e o consumo de bens públicos puros sem nenhum custo adicional. Nesse contexto, o conceito de “consumo” é expresso em um sentido mais amplo, pois não diminui as possibilidades de consumo dos outros agentes e permite que esse consumo se dê de outras formas (economias externas). Outra definição alternativa de bens públicos se apresenta como sendo aqueles bens que devem ser produzidos, contudo, não há meios viáveis de onerar seus consumidores.</w:t>
      </w:r>
    </w:p>
    <w:p w14:paraId="5C6E5B7E" w14:textId="77777777" w:rsidR="00F0521A" w:rsidRPr="00F0521A" w:rsidRDefault="00F0521A" w:rsidP="00F0521A">
      <w:pPr>
        <w:spacing w:line="360" w:lineRule="auto"/>
        <w:ind w:firstLine="360"/>
        <w:contextualSpacing/>
        <w:jc w:val="both"/>
        <w:rPr>
          <w:rFonts w:ascii="Arial" w:hAnsi="Arial" w:cs="Arial"/>
          <w:color w:val="000000" w:themeColor="text1"/>
        </w:rPr>
      </w:pPr>
      <w:r w:rsidRPr="00F0521A">
        <w:rPr>
          <w:rFonts w:ascii="Arial" w:hAnsi="Arial" w:cs="Arial"/>
          <w:color w:val="000000" w:themeColor="text1"/>
        </w:rPr>
        <w:tab/>
        <w:t>Musgrave (1959) e Samuelson (1954) assumem de maneira implícita que os gastos governamentais são de responsabilidade de um governo nacional. Entretanto, para Tiebout (1956), esse posicionamento não se aplica para uma série de serviços básicos como polícia, bombeiros, educação, hospitais e alguns outros bens e serviços públicos que não envolvem atividade em nível nacional</w:t>
      </w:r>
      <w:r w:rsidRPr="00F0521A">
        <w:rPr>
          <w:rStyle w:val="Refdenotaderodap"/>
          <w:rFonts w:ascii="Arial" w:hAnsi="Arial" w:cs="Arial"/>
          <w:color w:val="000000" w:themeColor="text1"/>
        </w:rPr>
        <w:footnoteReference w:id="2"/>
      </w:r>
      <w:r w:rsidRPr="00F0521A">
        <w:rPr>
          <w:rFonts w:ascii="Arial" w:hAnsi="Arial" w:cs="Arial"/>
          <w:color w:val="000000" w:themeColor="text1"/>
        </w:rPr>
        <w:t>. A questão relevante seria: como, nos governos locais, algum mecanismo poderia assegurar que os gastos em bens públicos seriam aproximados do nível ótimo apropriado?</w:t>
      </w:r>
    </w:p>
    <w:p w14:paraId="10B8D6C1" w14:textId="6C5798E1" w:rsidR="00F0521A" w:rsidRPr="00F0521A" w:rsidRDefault="00F0521A" w:rsidP="00F0521A">
      <w:pPr>
        <w:spacing w:line="360" w:lineRule="auto"/>
        <w:contextualSpacing/>
        <w:jc w:val="both"/>
        <w:rPr>
          <w:rFonts w:ascii="Arial" w:hAnsi="Arial" w:cs="Arial"/>
          <w:color w:val="000000" w:themeColor="text1"/>
        </w:rPr>
      </w:pPr>
      <w:r w:rsidRPr="00F0521A">
        <w:rPr>
          <w:rFonts w:ascii="Arial" w:hAnsi="Arial" w:cs="Arial"/>
          <w:color w:val="000000" w:themeColor="text1"/>
        </w:rPr>
        <w:tab/>
        <w:t xml:space="preserve">A discussão de Tiebout (1956) se pauta no sentido de que a análise de Musgrave (1959) e de Samuelson (1954), que é válida para gastos públicos nacionais, não necessariamente se aplica aos gastos públicos locais. De </w:t>
      </w:r>
      <w:r w:rsidRPr="00F0521A">
        <w:rPr>
          <w:rFonts w:ascii="Arial" w:hAnsi="Arial" w:cs="Arial"/>
          <w:color w:val="000000" w:themeColor="text1"/>
        </w:rPr>
        <w:lastRenderedPageBreak/>
        <w:t>maneira específica, o nível ótimo de provisão de bens públicos segundo a visão Musgrave-Samuelson não pode ser obtida uma vez que não existe mecanismo para preferências reveladas. Tiebout (1956) argumenta que muitos bens públicos, como parques, são “impuros” porque esses bens estão sujeitos a congestionamento, isto é, esses bens são não rivais, progressivamente menos rivais, além de certo limite definido localmente. Quando o número de usuários aumenta, o consumo dos bens públicos pode</w:t>
      </w:r>
      <w:r w:rsidR="00E87344">
        <w:rPr>
          <w:rFonts w:ascii="Arial" w:hAnsi="Arial" w:cs="Arial"/>
          <w:color w:val="000000" w:themeColor="text1"/>
        </w:rPr>
        <w:t xml:space="preserve"> </w:t>
      </w:r>
      <w:r w:rsidRPr="00F0521A">
        <w:rPr>
          <w:rFonts w:ascii="Arial" w:hAnsi="Arial" w:cs="Arial"/>
          <w:color w:val="000000" w:themeColor="text1"/>
        </w:rPr>
        <w:t>se tornar congestionado. Mas na interpretação de Tiebout (1956), o conceito de bens públicos pode ser ampliado para incluir as externalidades econômicas, por exemplo, a construção de um novo programa governamental de habitação que resolve o problema de favelas e, simultaneamente, melhore a vida da comunidade vizinha. Com essa interpretação, muitos bens que não têm alguns atributos de bens públicos, poderiam assim ser considerados, ao verificarem-se externalidades econômicas. Outra maneira de identificar um bem público seria observar aqueles que não apresentam um método viável de cobrança aos consumidores.</w:t>
      </w:r>
    </w:p>
    <w:p w14:paraId="1E1365C2" w14:textId="7790D3D7" w:rsidR="00F0521A" w:rsidRPr="00F0521A" w:rsidRDefault="00F0521A" w:rsidP="00F0521A">
      <w:pPr>
        <w:spacing w:line="360" w:lineRule="auto"/>
        <w:contextualSpacing/>
        <w:jc w:val="both"/>
        <w:rPr>
          <w:rFonts w:ascii="Arial" w:hAnsi="Arial" w:cs="Arial"/>
          <w:color w:val="000000" w:themeColor="text1"/>
        </w:rPr>
      </w:pPr>
      <w:r w:rsidRPr="00F0521A">
        <w:rPr>
          <w:rFonts w:ascii="Arial" w:hAnsi="Arial" w:cs="Arial"/>
          <w:color w:val="000000" w:themeColor="text1"/>
        </w:rPr>
        <w:tab/>
        <w:t xml:space="preserve">Tiebout (1956) introduz a noção de bens públicos locais ou impuros, em contraponto ao conceito de bem público puro apresentado por Samuelson (1956) para a teoria das finanças públicas, a fim de analisar a descentralização política e fiscal em termos de competição entre as localidades fornecendo o mecanismo para revelação de preferências. A essência da hipótese de Tiebout (1956) é que a demanda do consumidor por bens públicos locais pode ser revelada quando os cidadãos escolhem a jurisdição que fornece a eles o melhor benefício líquido. Essa hipótese estabelece que, com mobilidade, as preferências dos consumidores-eleitores podem ser reveladas, e os consumidores irão alcançar o ponto onde sua demanda por bens públicos impuros é satisfeita com o devido reconhecimento dos custos de ofertar essa demanda. </w:t>
      </w:r>
    </w:p>
    <w:p w14:paraId="69338D6E" w14:textId="0A1BD2B9" w:rsidR="00F0521A" w:rsidRPr="00F0521A" w:rsidRDefault="00F0521A" w:rsidP="00F0521A">
      <w:pPr>
        <w:spacing w:line="360" w:lineRule="auto"/>
        <w:contextualSpacing/>
        <w:jc w:val="both"/>
        <w:rPr>
          <w:rFonts w:ascii="Arial" w:hAnsi="Arial" w:cs="Arial"/>
          <w:color w:val="000000" w:themeColor="text1"/>
        </w:rPr>
      </w:pPr>
      <w:r w:rsidRPr="00F0521A">
        <w:rPr>
          <w:rFonts w:ascii="Arial" w:hAnsi="Arial" w:cs="Arial"/>
          <w:color w:val="000000" w:themeColor="text1"/>
        </w:rPr>
        <w:tab/>
        <w:t xml:space="preserve">Tiebout (1956) argumentou que a capacidade dos indivíduos em se mover entre as jurisdições produz uma solução típica do mercado para o problema local dos bens públicos. As pessoas “votam pela mudança” e permanecem na comunidade que oferece o pacote de serviços públicos e impostos de que elas mais gostam. Em equilíbrio, as pessoas se distribuem através de comunidades </w:t>
      </w:r>
      <w:r w:rsidRPr="00F0521A">
        <w:rPr>
          <w:rFonts w:ascii="Arial" w:hAnsi="Arial" w:cs="Arial"/>
          <w:color w:val="000000" w:themeColor="text1"/>
        </w:rPr>
        <w:lastRenderedPageBreak/>
        <w:t>com base em suas demandas por serviços públicos. Cada indivíduo recebe o nível desejado de serviços públicos e isso não pode ficar melhor com uma mudança (ou então a pessoa se mudaria). Assim, o equilíbrio alcança eficiência de Pareto, e não é necessária uma ação do governo para atingir a eficiência (ROSEN e GAYER, 2015, p. 498).</w:t>
      </w:r>
    </w:p>
    <w:p w14:paraId="79C59983" w14:textId="77777777" w:rsidR="00F0521A" w:rsidRPr="00F0521A" w:rsidRDefault="00F0521A" w:rsidP="00F0521A">
      <w:pPr>
        <w:spacing w:line="360" w:lineRule="auto"/>
        <w:contextualSpacing/>
        <w:jc w:val="both"/>
        <w:rPr>
          <w:rFonts w:ascii="Arial" w:hAnsi="Arial" w:cs="Arial"/>
          <w:color w:val="000000" w:themeColor="text1"/>
        </w:rPr>
      </w:pPr>
      <w:r w:rsidRPr="00F0521A">
        <w:rPr>
          <w:rFonts w:ascii="Arial" w:hAnsi="Arial" w:cs="Arial"/>
          <w:color w:val="000000" w:themeColor="text1"/>
        </w:rPr>
        <w:tab/>
        <w:t xml:space="preserve">Em relação aos argumentos apresentados por Tiebout (1956), Avarte e Biderman (2004, p. 425) argumentam que </w:t>
      </w:r>
      <w:r w:rsidRPr="00F0521A">
        <w:rPr>
          <w:rFonts w:ascii="Arial" w:hAnsi="Arial" w:cs="Arial"/>
          <w:i/>
          <w:color w:val="000000" w:themeColor="text1"/>
        </w:rPr>
        <w:t>“ao optar por viver em uma dada comunidade, a família estaria revelando sua preferência pela cesta de bens públicos e impostos existentes naquela comunidade. Esta é a ideia de que as famílias podem ‘votar com os pés’, ou seja, mudarem-se para a comunidade que melhor atende às suas necessidades em termos de bens públicos e impostos”</w:t>
      </w:r>
      <w:r w:rsidRPr="00F0521A">
        <w:rPr>
          <w:rFonts w:ascii="Arial" w:hAnsi="Arial" w:cs="Arial"/>
          <w:color w:val="000000" w:themeColor="text1"/>
        </w:rPr>
        <w:t>.</w:t>
      </w:r>
    </w:p>
    <w:p w14:paraId="2C9F2DA7" w14:textId="77777777" w:rsidR="00F0521A" w:rsidRPr="00F0521A" w:rsidRDefault="00F0521A" w:rsidP="00F0521A">
      <w:pPr>
        <w:spacing w:line="360" w:lineRule="auto"/>
        <w:ind w:firstLine="360"/>
        <w:contextualSpacing/>
        <w:jc w:val="both"/>
        <w:rPr>
          <w:rFonts w:ascii="Arial" w:hAnsi="Arial" w:cs="Arial"/>
          <w:color w:val="000000" w:themeColor="text1"/>
        </w:rPr>
      </w:pPr>
      <w:r w:rsidRPr="00F0521A">
        <w:rPr>
          <w:rFonts w:ascii="Arial" w:hAnsi="Arial" w:cs="Arial"/>
          <w:color w:val="000000" w:themeColor="text1"/>
        </w:rPr>
        <w:tab/>
        <w:t>Em seu modelo teórico, Tiebout (1956) considera um cidadão que está na iminência de mudar-se para os subúrbios. Em vista disso, questiona-se que fatores entrariam na sua escolha de municipalidade (por exemplo, serviços de educação, lazer, segurança, etc.)? O consumidor-eleitor poderia ser visto escolhendo a comunidade que melhor satisfizesse suas preferências. Essa é uma diferença fundamental entre provisão local e central de bens públicos, pois, ao nível central, as preferências estão padronizadas (ou seja, dadas) e o governo procura ajustar-se a esse padrão, ao passo que no nível local, os gastos estão dados (ou fixados). Assim, o consumidor-eleitor se move para aquelas comunidades onde suas preferências são mais bem atendidas. Dessa forma, quanto maior o número e a variedade de comunidades, mais próximo o consumidor estará de realizar completamente suas preferências.</w:t>
      </w:r>
    </w:p>
    <w:p w14:paraId="71A72B45" w14:textId="04353E69" w:rsidR="00F0521A" w:rsidRPr="00F0521A" w:rsidRDefault="00107504" w:rsidP="00107504">
      <w:pPr>
        <w:spacing w:line="360" w:lineRule="auto"/>
        <w:contextualSpacing/>
        <w:jc w:val="both"/>
        <w:rPr>
          <w:rFonts w:ascii="Arial" w:hAnsi="Arial" w:cs="Arial"/>
          <w:color w:val="000000" w:themeColor="text1"/>
        </w:rPr>
      </w:pPr>
      <w:r>
        <w:rPr>
          <w:rFonts w:ascii="Arial" w:hAnsi="Arial" w:cs="Arial"/>
          <w:color w:val="000000" w:themeColor="text1"/>
        </w:rPr>
        <w:tab/>
        <w:t>A</w:t>
      </w:r>
      <w:r w:rsidR="00F0521A" w:rsidRPr="00F0521A">
        <w:rPr>
          <w:rFonts w:ascii="Arial" w:hAnsi="Arial" w:cs="Arial"/>
          <w:color w:val="000000" w:themeColor="text1"/>
        </w:rPr>
        <w:t xml:space="preserve"> ideia básica do modelo proposto por Tiebout (1956) conduz a uma solução para o nível de gastos públicos locais que reflete as preferências da população mais adequadamente que aquelas encontradas em nível nacional. Em outras palavras, a solução teórica para o problema de Musgrave (1959) e de Samuelson (1954) é que os eleitores revelem as preferências a fim de que o governo tribute de maneira adequada. </w:t>
      </w:r>
    </w:p>
    <w:p w14:paraId="27FB1199" w14:textId="3D7F1436" w:rsidR="00F0521A" w:rsidRPr="00F0521A" w:rsidRDefault="00107504" w:rsidP="00107504">
      <w:pPr>
        <w:spacing w:line="360" w:lineRule="auto"/>
        <w:contextualSpacing/>
        <w:jc w:val="both"/>
        <w:rPr>
          <w:rFonts w:ascii="Arial" w:hAnsi="Arial" w:cs="Arial"/>
          <w:color w:val="000000" w:themeColor="text1"/>
        </w:rPr>
      </w:pPr>
      <w:r>
        <w:rPr>
          <w:rFonts w:ascii="Arial" w:hAnsi="Arial" w:cs="Arial"/>
          <w:color w:val="000000" w:themeColor="text1"/>
        </w:rPr>
        <w:tab/>
        <w:t>O</w:t>
      </w:r>
      <w:r w:rsidR="00F0521A" w:rsidRPr="00F0521A">
        <w:rPr>
          <w:rFonts w:ascii="Arial" w:hAnsi="Arial" w:cs="Arial"/>
          <w:color w:val="000000" w:themeColor="text1"/>
        </w:rPr>
        <w:t xml:space="preserve"> problema essencial com o qual Musgrave (1959) e Samuelson (1954) tiveram de enfrentar concerne aos mecanismos pelos quais os consumidores </w:t>
      </w:r>
      <w:r w:rsidR="00F0521A" w:rsidRPr="00F0521A">
        <w:rPr>
          <w:rFonts w:ascii="Arial" w:hAnsi="Arial" w:cs="Arial"/>
          <w:color w:val="000000" w:themeColor="text1"/>
        </w:rPr>
        <w:lastRenderedPageBreak/>
        <w:t xml:space="preserve">registram suas preferências pelos bens públicos. </w:t>
      </w:r>
      <w:r w:rsidR="00F0521A" w:rsidRPr="00F0521A">
        <w:rPr>
          <w:rFonts w:ascii="Arial" w:hAnsi="Arial" w:cs="Arial"/>
          <w:bCs/>
          <w:color w:val="000000" w:themeColor="text1"/>
        </w:rPr>
        <w:t>De fato, o consumidor “racional” irá subvalor</w:t>
      </w:r>
      <w:r w:rsidR="00BF0D81">
        <w:rPr>
          <w:rFonts w:ascii="Arial" w:hAnsi="Arial" w:cs="Arial"/>
          <w:bCs/>
          <w:color w:val="000000" w:themeColor="text1"/>
        </w:rPr>
        <w:t>iza</w:t>
      </w:r>
      <w:r w:rsidR="00F0521A" w:rsidRPr="00F0521A">
        <w:rPr>
          <w:rFonts w:ascii="Arial" w:hAnsi="Arial" w:cs="Arial"/>
          <w:bCs/>
          <w:color w:val="000000" w:themeColor="text1"/>
        </w:rPr>
        <w:t xml:space="preserve">r suas preferências para usufruir dos bens públicos, evitando pagar os impostos correspondentes, comportamento definido na literatura microeconômica como sendo o “problema do carona”. </w:t>
      </w:r>
      <w:r w:rsidR="00F0521A" w:rsidRPr="00F0521A">
        <w:rPr>
          <w:rFonts w:ascii="Arial" w:hAnsi="Arial" w:cs="Arial"/>
          <w:color w:val="000000" w:themeColor="text1"/>
        </w:rPr>
        <w:t>Tiebout (1956) argumenta que o método de lidar com esse tipo de problema é insatisfatório, pois tenta resolvê-lo por um mecanismo político. De um lado, procura-se visualizar um eleitor típico (padrão) e, por outro lado, combina-se o princípio de “capacidade de pagamento”. Em vista disso, resulta o orçamento corrente. Em termos de uma teoria de finanças públicas seria desejável: (</w:t>
      </w:r>
      <w:r>
        <w:rPr>
          <w:rFonts w:ascii="Arial" w:hAnsi="Arial" w:cs="Arial"/>
          <w:color w:val="000000" w:themeColor="text1"/>
        </w:rPr>
        <w:t>1</w:t>
      </w:r>
      <w:r w:rsidR="00F0521A" w:rsidRPr="00F0521A">
        <w:rPr>
          <w:rFonts w:ascii="Arial" w:hAnsi="Arial" w:cs="Arial"/>
          <w:color w:val="000000" w:themeColor="text1"/>
        </w:rPr>
        <w:t>) forçar o eleitor a revelar suas preferências; (</w:t>
      </w:r>
      <w:r>
        <w:rPr>
          <w:rFonts w:ascii="Arial" w:hAnsi="Arial" w:cs="Arial"/>
          <w:color w:val="000000" w:themeColor="text1"/>
        </w:rPr>
        <w:t>2)</w:t>
      </w:r>
      <w:r w:rsidR="00F0521A" w:rsidRPr="00F0521A">
        <w:rPr>
          <w:rFonts w:ascii="Arial" w:hAnsi="Arial" w:cs="Arial"/>
          <w:color w:val="000000" w:themeColor="text1"/>
        </w:rPr>
        <w:t xml:space="preserve"> ter a capacidade de satisfazer tais preferências, da mesma forma que os mercados privados o fazem; (</w:t>
      </w:r>
      <w:r>
        <w:rPr>
          <w:rFonts w:ascii="Arial" w:hAnsi="Arial" w:cs="Arial"/>
          <w:color w:val="000000" w:themeColor="text1"/>
        </w:rPr>
        <w:t>3</w:t>
      </w:r>
      <w:r w:rsidR="00F0521A" w:rsidRPr="00F0521A">
        <w:rPr>
          <w:rFonts w:ascii="Arial" w:hAnsi="Arial" w:cs="Arial"/>
          <w:color w:val="000000" w:themeColor="text1"/>
        </w:rPr>
        <w:t>) tributar o eleitor (cidadão) proporcionalmente e de acordo com suas preferências. A questão que emerge é desenhar um conjunto de instituições sociais pelas quais essas metas possam ser aproximadas.</w:t>
      </w:r>
    </w:p>
    <w:p w14:paraId="0944FBCB" w14:textId="77777777" w:rsidR="00F0521A" w:rsidRPr="00F0521A" w:rsidRDefault="00F0521A" w:rsidP="00F0521A">
      <w:pPr>
        <w:spacing w:line="360" w:lineRule="auto"/>
        <w:ind w:firstLine="360"/>
        <w:contextualSpacing/>
        <w:jc w:val="both"/>
        <w:rPr>
          <w:rFonts w:ascii="Arial" w:hAnsi="Arial" w:cs="Arial"/>
          <w:color w:val="000000" w:themeColor="text1"/>
        </w:rPr>
      </w:pPr>
      <w:r w:rsidRPr="00F0521A">
        <w:rPr>
          <w:rFonts w:ascii="Arial" w:hAnsi="Arial" w:cs="Arial"/>
          <w:color w:val="000000" w:themeColor="text1"/>
        </w:rPr>
        <w:tab/>
        <w:t>A respeito do modelo de Tiebout (1956), Guedes e Gasparini (2007) alegam que:</w:t>
      </w:r>
    </w:p>
    <w:p w14:paraId="5CB19145" w14:textId="77777777" w:rsidR="00F0521A" w:rsidRPr="00F0521A" w:rsidRDefault="00F0521A" w:rsidP="00F0521A">
      <w:pPr>
        <w:spacing w:line="360" w:lineRule="auto"/>
        <w:contextualSpacing/>
        <w:jc w:val="both"/>
        <w:rPr>
          <w:rFonts w:ascii="Arial" w:hAnsi="Arial" w:cs="Arial"/>
          <w:color w:val="000000" w:themeColor="text1"/>
        </w:rPr>
      </w:pPr>
    </w:p>
    <w:p w14:paraId="65DED6D3" w14:textId="367C6168" w:rsidR="00F0521A" w:rsidRPr="00F0521A" w:rsidRDefault="00F0521A" w:rsidP="00F0521A">
      <w:pPr>
        <w:spacing w:line="360" w:lineRule="auto"/>
        <w:ind w:left="2268"/>
        <w:contextualSpacing/>
        <w:jc w:val="both"/>
        <w:rPr>
          <w:rFonts w:ascii="Arial" w:hAnsi="Arial" w:cs="Arial"/>
          <w:color w:val="000000" w:themeColor="text1"/>
        </w:rPr>
      </w:pPr>
      <w:r w:rsidRPr="00F0521A">
        <w:rPr>
          <w:rFonts w:ascii="Arial" w:hAnsi="Arial" w:cs="Arial"/>
          <w:color w:val="000000" w:themeColor="text1"/>
        </w:rPr>
        <w:t xml:space="preserve"> </w:t>
      </w:r>
      <w:r w:rsidRPr="00F0521A">
        <w:rPr>
          <w:rFonts w:ascii="Arial" w:hAnsi="Arial" w:cs="Arial"/>
          <w:i/>
          <w:color w:val="000000" w:themeColor="text1"/>
        </w:rPr>
        <w:t>“por meio da comparação entre várias jurisdições, os cidadãos podem observar a provisão dos bens públicos e, com base em suas preferências, determinar aquela que lhes proporciona maior bem-estar. Os cidadãos sairiam em busca de jurisdições com impostos menores perante qualquer tentativa de aumentar o imposto pago para a provisão de bens e serviços públicos indesejados. Assim, a competição entre as jurisdições por contribuintes e por recursos econômicos móveis provavelmente restringiria os poderes tributários do governo, encorajando a provisão dos bens e serviços públicos locais com custos mais eficientes. Os gastos do governo central se reduziriam como resultado da descentralização fiscal e, desta forma, o tamanho global do setor público também diminuiria”</w:t>
      </w:r>
      <w:r w:rsidRPr="00F0521A">
        <w:rPr>
          <w:rFonts w:ascii="Arial" w:hAnsi="Arial" w:cs="Arial"/>
          <w:color w:val="000000" w:themeColor="text1"/>
        </w:rPr>
        <w:t>.</w:t>
      </w:r>
    </w:p>
    <w:p w14:paraId="6A94E39A" w14:textId="77777777" w:rsidR="00F0521A" w:rsidRDefault="00F0521A" w:rsidP="00F0521A">
      <w:pPr>
        <w:spacing w:line="360" w:lineRule="auto"/>
        <w:ind w:firstLine="708"/>
        <w:contextualSpacing/>
        <w:jc w:val="both"/>
        <w:rPr>
          <w:rFonts w:ascii="Arial" w:hAnsi="Arial" w:cs="Arial"/>
          <w:color w:val="000000" w:themeColor="text1"/>
        </w:rPr>
      </w:pPr>
    </w:p>
    <w:p w14:paraId="7A5FB8DB" w14:textId="77777777" w:rsid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De acordo com VO (2010, p. 661)</w:t>
      </w:r>
      <w:r>
        <w:rPr>
          <w:rFonts w:ascii="Arial" w:hAnsi="Arial" w:cs="Arial"/>
          <w:color w:val="000000" w:themeColor="text1"/>
        </w:rPr>
        <w:t>:</w:t>
      </w:r>
    </w:p>
    <w:p w14:paraId="5AA1AF36" w14:textId="77777777" w:rsidR="00F0521A" w:rsidRDefault="00F0521A" w:rsidP="00F0521A">
      <w:pPr>
        <w:spacing w:line="360" w:lineRule="auto"/>
        <w:contextualSpacing/>
        <w:jc w:val="both"/>
        <w:rPr>
          <w:rFonts w:ascii="Arial" w:hAnsi="Arial" w:cs="Arial"/>
          <w:i/>
          <w:color w:val="000000" w:themeColor="text1"/>
        </w:rPr>
      </w:pPr>
    </w:p>
    <w:p w14:paraId="30E437FE" w14:textId="18825272" w:rsidR="00F0521A" w:rsidRPr="00F0521A" w:rsidRDefault="00F0521A" w:rsidP="00F0521A">
      <w:pPr>
        <w:spacing w:line="360" w:lineRule="auto"/>
        <w:ind w:left="2268"/>
        <w:contextualSpacing/>
        <w:jc w:val="both"/>
        <w:rPr>
          <w:rFonts w:ascii="Arial" w:hAnsi="Arial" w:cs="Arial"/>
          <w:color w:val="000000" w:themeColor="text1"/>
        </w:rPr>
      </w:pPr>
      <w:r w:rsidRPr="00F0521A">
        <w:rPr>
          <w:rFonts w:ascii="Arial" w:hAnsi="Arial" w:cs="Arial"/>
          <w:i/>
          <w:color w:val="000000" w:themeColor="text1"/>
        </w:rPr>
        <w:t>“um aspecto da classificação de Tiebout é a sua relevância aos formuladores de política, e as consequentes implicações para os arranjos fiscais. Políticas para encorajar a mobilidade residencial e desenvolver o conhecimento entre os moradores de benefícios e custos públicos irá encorajar a migração que atua como uma força que contribui para a melhoria na eficiência dos gastos governamentais. Argumenta-se ainda que, quanto maior for o grau de mobilidade revelado dos residentes de região para região, maior a eficiência da alocação de recursos, outras coisas mantidas constantes (TIEBOUT, 1956). Isso ocorre porque não haveria mobilidade das famílias e firmas quando todas as unidades subnacionais estão em um estado de equilíbrio – os benefícios fornecidos seriam consistentes com os custos. Como resultado, devido à pressão exercida sobre os governos por causa dessa mobilidade, a eficiência na produção será reforçada”.</w:t>
      </w:r>
    </w:p>
    <w:p w14:paraId="0A0E3AC5" w14:textId="0CDC0E09" w:rsidR="00F0521A" w:rsidRDefault="00F0521A" w:rsidP="00F0521A">
      <w:pPr>
        <w:spacing w:line="360" w:lineRule="auto"/>
        <w:contextualSpacing/>
        <w:jc w:val="both"/>
        <w:rPr>
          <w:rFonts w:ascii="Arial" w:hAnsi="Arial" w:cs="Arial"/>
          <w:color w:val="000000" w:themeColor="text1"/>
        </w:rPr>
      </w:pPr>
    </w:p>
    <w:p w14:paraId="3E44CEDC" w14:textId="03E3E388" w:rsidR="00F0521A" w:rsidRPr="00F0521A" w:rsidRDefault="00107504" w:rsidP="00107504">
      <w:pPr>
        <w:spacing w:line="360" w:lineRule="auto"/>
        <w:contextualSpacing/>
        <w:jc w:val="both"/>
        <w:rPr>
          <w:rFonts w:ascii="Arial" w:hAnsi="Arial" w:cs="Arial"/>
          <w:color w:val="000000" w:themeColor="text1"/>
        </w:rPr>
      </w:pPr>
      <w:r>
        <w:rPr>
          <w:rFonts w:ascii="Arial" w:hAnsi="Arial" w:cs="Arial"/>
          <w:color w:val="000000" w:themeColor="text1"/>
        </w:rPr>
        <w:tab/>
        <w:t>A</w:t>
      </w:r>
      <w:r w:rsidR="00F0521A" w:rsidRPr="00F0521A">
        <w:rPr>
          <w:rFonts w:ascii="Arial" w:hAnsi="Arial" w:cs="Arial"/>
          <w:color w:val="000000" w:themeColor="text1"/>
        </w:rPr>
        <w:t xml:space="preserve"> mensagem de Tiebout (1956) é clara, no sentido de argumentar que o controle local dos gastos permite </w:t>
      </w:r>
      <w:r w:rsidR="00076C35">
        <w:rPr>
          <w:rFonts w:ascii="Arial" w:hAnsi="Arial" w:cs="Arial"/>
          <w:color w:val="000000" w:themeColor="text1"/>
        </w:rPr>
        <w:t>a</w:t>
      </w:r>
      <w:r w:rsidR="00F0521A" w:rsidRPr="00F0521A">
        <w:rPr>
          <w:rFonts w:ascii="Arial" w:hAnsi="Arial" w:cs="Arial"/>
          <w:color w:val="000000" w:themeColor="text1"/>
        </w:rPr>
        <w:t>o setor público responder de maneira mais eficiente às preferências variadas do consumidor por bens públicos. Em seu modelo, os governos locais competem por residentes ao oferecerem diferentes pacotes de bens e serviços públicos, bem como diferentes estruturas tributárias e níveis de tributação. Além disso, VO (2010) destaca também as duas principais contribuições de Tiebout para o estudo da descentralização fiscal: (</w:t>
      </w:r>
      <w:r>
        <w:rPr>
          <w:rFonts w:ascii="Arial" w:hAnsi="Arial" w:cs="Arial"/>
          <w:color w:val="000000" w:themeColor="text1"/>
        </w:rPr>
        <w:t>1</w:t>
      </w:r>
      <w:r w:rsidR="00F0521A" w:rsidRPr="00F0521A">
        <w:rPr>
          <w:rFonts w:ascii="Arial" w:hAnsi="Arial" w:cs="Arial"/>
          <w:color w:val="000000" w:themeColor="text1"/>
        </w:rPr>
        <w:t>) a introdução do conceito de que os bens públicos impuros são fornecidos pelos governos subnacionais; (</w:t>
      </w:r>
      <w:r>
        <w:rPr>
          <w:rFonts w:ascii="Arial" w:hAnsi="Arial" w:cs="Arial"/>
          <w:color w:val="000000" w:themeColor="text1"/>
        </w:rPr>
        <w:t>2</w:t>
      </w:r>
      <w:r w:rsidR="00F0521A" w:rsidRPr="00F0521A">
        <w:rPr>
          <w:rFonts w:ascii="Arial" w:hAnsi="Arial" w:cs="Arial"/>
          <w:color w:val="000000" w:themeColor="text1"/>
        </w:rPr>
        <w:t xml:space="preserve">) a mobilidade dos contribuintes (eleitores) entre </w:t>
      </w:r>
      <w:r w:rsidR="00F0521A" w:rsidRPr="00F0521A">
        <w:rPr>
          <w:rFonts w:ascii="Arial" w:hAnsi="Arial" w:cs="Arial"/>
          <w:color w:val="000000" w:themeColor="text1"/>
        </w:rPr>
        <w:lastRenderedPageBreak/>
        <w:t xml:space="preserve">jurisdições representa o mecanismo pelo qual os indivíduos revelam suas preferências por bens públicos impuros. </w:t>
      </w:r>
    </w:p>
    <w:p w14:paraId="69E601E3" w14:textId="640EE9F3" w:rsid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Oates (1972) conjuga a noção de equivalência fiscal proposta por Olson (1969)</w:t>
      </w:r>
      <w:r w:rsidRPr="00F0521A">
        <w:rPr>
          <w:rStyle w:val="Refdenotaderodap"/>
          <w:rFonts w:ascii="Arial" w:hAnsi="Arial" w:cs="Arial"/>
          <w:color w:val="000000" w:themeColor="text1"/>
        </w:rPr>
        <w:footnoteReference w:id="3"/>
      </w:r>
      <w:r w:rsidRPr="00F0521A">
        <w:rPr>
          <w:rFonts w:ascii="Arial" w:hAnsi="Arial" w:cs="Arial"/>
          <w:color w:val="000000" w:themeColor="text1"/>
        </w:rPr>
        <w:t xml:space="preserve"> com aspectos da abordagem de Tiebout (1956) de bens públicos impuros em sua teoria da descentralização fiscal, embora sem focar diretamente na mobilidade ou classificação das famílias. Argumenta-se que deve existir uma variação da provisão de bens e serviços públicos impuros de governos desde que os habitantes tenham diferentes gostos por serviços públicos. </w:t>
      </w:r>
    </w:p>
    <w:p w14:paraId="7C2B1F7B" w14:textId="77777777" w:rsidR="004E0034" w:rsidRPr="00F0521A" w:rsidRDefault="004E0034" w:rsidP="00F0521A">
      <w:pPr>
        <w:spacing w:line="360" w:lineRule="auto"/>
        <w:ind w:firstLine="708"/>
        <w:contextualSpacing/>
        <w:jc w:val="both"/>
        <w:rPr>
          <w:rFonts w:ascii="Arial" w:hAnsi="Arial" w:cs="Arial"/>
          <w:color w:val="000000" w:themeColor="text1"/>
        </w:rPr>
      </w:pPr>
    </w:p>
    <w:p w14:paraId="2CABE9FD" w14:textId="5C2095B8" w:rsid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Segundo VO (2010, p. 662):</w:t>
      </w:r>
    </w:p>
    <w:p w14:paraId="691C8A4F" w14:textId="77777777" w:rsidR="00F0521A" w:rsidRPr="00F0521A" w:rsidRDefault="00F0521A" w:rsidP="00F0521A">
      <w:pPr>
        <w:spacing w:line="360" w:lineRule="auto"/>
        <w:ind w:firstLine="708"/>
        <w:contextualSpacing/>
        <w:jc w:val="both"/>
        <w:rPr>
          <w:rFonts w:ascii="Arial" w:hAnsi="Arial" w:cs="Arial"/>
          <w:color w:val="000000" w:themeColor="text1"/>
        </w:rPr>
      </w:pPr>
    </w:p>
    <w:p w14:paraId="37E35827" w14:textId="44E81528" w:rsidR="00F0521A" w:rsidRDefault="00F0521A" w:rsidP="00F0521A">
      <w:pPr>
        <w:spacing w:line="360" w:lineRule="auto"/>
        <w:ind w:left="2268"/>
        <w:contextualSpacing/>
        <w:jc w:val="both"/>
        <w:rPr>
          <w:rFonts w:ascii="Arial" w:hAnsi="Arial" w:cs="Arial"/>
          <w:color w:val="000000" w:themeColor="text1"/>
        </w:rPr>
      </w:pPr>
      <w:r w:rsidRPr="00F0521A">
        <w:rPr>
          <w:rFonts w:ascii="Arial" w:hAnsi="Arial" w:cs="Arial"/>
          <w:color w:val="000000" w:themeColor="text1"/>
        </w:rPr>
        <w:t xml:space="preserve"> </w:t>
      </w:r>
      <w:r w:rsidRPr="00F0521A">
        <w:rPr>
          <w:rFonts w:ascii="Arial" w:hAnsi="Arial" w:cs="Arial"/>
          <w:i/>
          <w:color w:val="000000" w:themeColor="text1"/>
        </w:rPr>
        <w:t>“Oates formaliza o seu tratamento da questão através da definição de bens públicos de uma forma que compreende ambos os atributos de bens públicos puros e impuros. Tudo o que importa é que os benefícios de bens públicos não excludentes e não rivais são ligados a uma população em um subconjunto geográfico (bens públicos locais impuros) ou a união da população de todos os subconjuntos (bens públicos puros)”</w:t>
      </w:r>
      <w:r w:rsidRPr="00F0521A">
        <w:rPr>
          <w:rFonts w:ascii="Arial" w:hAnsi="Arial" w:cs="Arial"/>
          <w:color w:val="000000" w:themeColor="text1"/>
        </w:rPr>
        <w:t>.</w:t>
      </w:r>
    </w:p>
    <w:p w14:paraId="1680807E" w14:textId="77777777" w:rsidR="00F0521A" w:rsidRPr="00F0521A" w:rsidRDefault="00F0521A" w:rsidP="00F0521A">
      <w:pPr>
        <w:spacing w:line="360" w:lineRule="auto"/>
        <w:ind w:left="2268"/>
        <w:contextualSpacing/>
        <w:jc w:val="both"/>
        <w:rPr>
          <w:rFonts w:ascii="Arial" w:hAnsi="Arial" w:cs="Arial"/>
          <w:color w:val="000000" w:themeColor="text1"/>
        </w:rPr>
      </w:pPr>
    </w:p>
    <w:p w14:paraId="5315330E" w14:textId="5ACE16E5" w:rsid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De acordo com o Teorema da Descentralização de Oates (1972, p. 35):</w:t>
      </w:r>
    </w:p>
    <w:p w14:paraId="2F514714" w14:textId="77777777" w:rsidR="00F0521A" w:rsidRPr="00F0521A" w:rsidRDefault="00F0521A" w:rsidP="00F0521A">
      <w:pPr>
        <w:spacing w:line="360" w:lineRule="auto"/>
        <w:ind w:firstLine="708"/>
        <w:contextualSpacing/>
        <w:jc w:val="both"/>
        <w:rPr>
          <w:rFonts w:ascii="Arial" w:hAnsi="Arial" w:cs="Arial"/>
          <w:color w:val="000000" w:themeColor="text1"/>
        </w:rPr>
      </w:pPr>
    </w:p>
    <w:p w14:paraId="27B99F38" w14:textId="557D17F8" w:rsidR="00F0521A" w:rsidRPr="00F0521A" w:rsidRDefault="00F0521A" w:rsidP="00F0521A">
      <w:pPr>
        <w:spacing w:line="360" w:lineRule="auto"/>
        <w:ind w:left="2268"/>
        <w:contextualSpacing/>
        <w:jc w:val="both"/>
        <w:rPr>
          <w:rFonts w:ascii="Arial" w:hAnsi="Arial" w:cs="Arial"/>
          <w:color w:val="000000" w:themeColor="text1"/>
        </w:rPr>
      </w:pPr>
      <w:r w:rsidRPr="00F0521A">
        <w:rPr>
          <w:rFonts w:ascii="Arial" w:hAnsi="Arial" w:cs="Arial"/>
          <w:i/>
          <w:color w:val="000000" w:themeColor="text1"/>
        </w:rPr>
        <w:t xml:space="preserve"> “para um bem público cujo consumo seja definido em subconjuntos geográficos (</w:t>
      </w:r>
      <w:r w:rsidRPr="00F0521A">
        <w:rPr>
          <w:rFonts w:ascii="Arial" w:hAnsi="Arial" w:cs="Arial"/>
          <w:i/>
          <w:color w:val="000000" w:themeColor="text1"/>
          <w:u w:val="single"/>
        </w:rPr>
        <w:t>bem público local</w:t>
      </w:r>
      <w:r w:rsidRPr="00F0521A">
        <w:rPr>
          <w:rFonts w:ascii="Arial" w:hAnsi="Arial" w:cs="Arial"/>
          <w:i/>
          <w:color w:val="000000" w:themeColor="text1"/>
        </w:rPr>
        <w:t xml:space="preserve">) da população total, e para o qual os custos de fornecimento de cada nível de produto do bem em cada jurisdição são os mesmos para o governo central ou o respectivo governo local, será </w:t>
      </w:r>
      <w:r w:rsidRPr="00F0521A">
        <w:rPr>
          <w:rFonts w:ascii="Arial" w:hAnsi="Arial" w:cs="Arial"/>
          <w:i/>
          <w:color w:val="000000" w:themeColor="text1"/>
        </w:rPr>
        <w:lastRenderedPageBreak/>
        <w:t>sempre mais eficiente (ou ao menos tão eficiente quanto) para os governos locais (</w:t>
      </w:r>
      <w:r w:rsidRPr="00F0521A">
        <w:rPr>
          <w:rFonts w:ascii="Arial" w:hAnsi="Arial" w:cs="Arial"/>
          <w:i/>
          <w:color w:val="000000" w:themeColor="text1"/>
          <w:u w:val="single"/>
        </w:rPr>
        <w:t>oferta descentralizada</w:t>
      </w:r>
      <w:r w:rsidRPr="00F0521A">
        <w:rPr>
          <w:rFonts w:ascii="Arial" w:hAnsi="Arial" w:cs="Arial"/>
          <w:i/>
          <w:color w:val="000000" w:themeColor="text1"/>
        </w:rPr>
        <w:t>) o fornecimento de níveis Pareto-eficiente do produto para cada jurisdiç</w:t>
      </w:r>
      <w:r w:rsidR="00076C35">
        <w:rPr>
          <w:rFonts w:ascii="Arial" w:hAnsi="Arial" w:cs="Arial"/>
          <w:i/>
          <w:color w:val="000000" w:themeColor="text1"/>
        </w:rPr>
        <w:t>ão</w:t>
      </w:r>
      <w:r w:rsidRPr="00F0521A">
        <w:rPr>
          <w:rFonts w:ascii="Arial" w:hAnsi="Arial" w:cs="Arial"/>
          <w:i/>
          <w:color w:val="000000" w:themeColor="text1"/>
        </w:rPr>
        <w:t xml:space="preserve"> respectiva, do que a provisão, pelo governo central, de qualquer nível </w:t>
      </w:r>
      <w:r w:rsidRPr="00F0521A">
        <w:rPr>
          <w:rFonts w:ascii="Arial" w:hAnsi="Arial" w:cs="Arial"/>
          <w:i/>
          <w:iCs/>
          <w:color w:val="000000" w:themeColor="text1"/>
        </w:rPr>
        <w:t>uniforme e específico</w:t>
      </w:r>
      <w:r w:rsidRPr="00F0521A">
        <w:rPr>
          <w:rFonts w:ascii="Arial" w:hAnsi="Arial" w:cs="Arial"/>
          <w:i/>
          <w:color w:val="000000" w:themeColor="text1"/>
        </w:rPr>
        <w:t xml:space="preserve"> daquele bem para todas as jurisdições.” </w:t>
      </w:r>
      <w:r w:rsidRPr="00F0521A">
        <w:rPr>
          <w:rFonts w:ascii="Arial" w:hAnsi="Arial" w:cs="Arial"/>
          <w:color w:val="000000" w:themeColor="text1"/>
        </w:rPr>
        <w:t>(grifo nosso).</w:t>
      </w:r>
    </w:p>
    <w:p w14:paraId="3BA1AFF5" w14:textId="77777777" w:rsidR="00F0521A" w:rsidRDefault="00F0521A" w:rsidP="00F0521A">
      <w:pPr>
        <w:spacing w:line="360" w:lineRule="auto"/>
        <w:ind w:firstLine="708"/>
        <w:contextualSpacing/>
        <w:jc w:val="both"/>
        <w:rPr>
          <w:rFonts w:ascii="Arial" w:hAnsi="Arial" w:cs="Arial"/>
          <w:color w:val="000000" w:themeColor="text1"/>
        </w:rPr>
      </w:pPr>
    </w:p>
    <w:p w14:paraId="10722CF6" w14:textId="7F3BFE8F"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Segundo VO (2010, p. 662):</w:t>
      </w:r>
    </w:p>
    <w:p w14:paraId="616C9818" w14:textId="77777777" w:rsidR="00F0521A" w:rsidRPr="00F0521A" w:rsidRDefault="00F0521A" w:rsidP="00F0521A">
      <w:pPr>
        <w:spacing w:line="360" w:lineRule="auto"/>
        <w:contextualSpacing/>
        <w:jc w:val="both"/>
        <w:rPr>
          <w:rFonts w:ascii="Arial" w:hAnsi="Arial" w:cs="Arial"/>
          <w:color w:val="000000" w:themeColor="text1"/>
        </w:rPr>
      </w:pPr>
    </w:p>
    <w:p w14:paraId="171DF306" w14:textId="0B5EA43B" w:rsidR="00F0521A" w:rsidRPr="00F0521A" w:rsidRDefault="00F0521A" w:rsidP="00F0521A">
      <w:pPr>
        <w:spacing w:line="360" w:lineRule="auto"/>
        <w:ind w:left="2268"/>
        <w:contextualSpacing/>
        <w:jc w:val="both"/>
        <w:rPr>
          <w:rFonts w:ascii="Arial" w:hAnsi="Arial" w:cs="Arial"/>
          <w:color w:val="000000" w:themeColor="text1"/>
        </w:rPr>
      </w:pPr>
      <w:r w:rsidRPr="00F0521A">
        <w:rPr>
          <w:rFonts w:ascii="Arial" w:hAnsi="Arial" w:cs="Arial"/>
          <w:i/>
          <w:color w:val="000000" w:themeColor="text1"/>
        </w:rPr>
        <w:t xml:space="preserve">“o teorema da descentralização de Oates tem uma clara rationale. O bem-estar é maximizado quando bens públicos específicos são fornecidos pelos governos locais cujas jurisdições correspondem ao subconjunto da população nacional para o qual a demanda bens e serviços públicos específicos </w:t>
      </w:r>
      <w:r w:rsidR="00076C35">
        <w:rPr>
          <w:rFonts w:ascii="Arial" w:hAnsi="Arial" w:cs="Arial"/>
          <w:i/>
          <w:color w:val="000000" w:themeColor="text1"/>
        </w:rPr>
        <w:t>é</w:t>
      </w:r>
      <w:r w:rsidR="00076C35" w:rsidRPr="00F0521A">
        <w:rPr>
          <w:rFonts w:ascii="Arial" w:hAnsi="Arial" w:cs="Arial"/>
          <w:i/>
          <w:color w:val="000000" w:themeColor="text1"/>
        </w:rPr>
        <w:t xml:space="preserve"> </w:t>
      </w:r>
      <w:r w:rsidRPr="00F0521A">
        <w:rPr>
          <w:rFonts w:ascii="Arial" w:hAnsi="Arial" w:cs="Arial"/>
          <w:i/>
          <w:color w:val="000000" w:themeColor="text1"/>
        </w:rPr>
        <w:t>homogêne</w:t>
      </w:r>
      <w:r w:rsidR="00076C35">
        <w:rPr>
          <w:rFonts w:ascii="Arial" w:hAnsi="Arial" w:cs="Arial"/>
          <w:i/>
          <w:color w:val="000000" w:themeColor="text1"/>
        </w:rPr>
        <w:t>a</w:t>
      </w:r>
      <w:r w:rsidRPr="00F0521A">
        <w:rPr>
          <w:rFonts w:ascii="Arial" w:hAnsi="Arial" w:cs="Arial"/>
          <w:i/>
          <w:color w:val="000000" w:themeColor="text1"/>
        </w:rPr>
        <w:t>. Se o governo nacional assume o fornecimento da mesma cesta de bens e serviços públicos através de todas as jurisdições subnacionais, então não será possível para o governo nacional fornecer o nível eficiente, ao menos que as preferências sejam homogêneas para todos os membros da população.”</w:t>
      </w:r>
      <w:r w:rsidRPr="00F0521A">
        <w:rPr>
          <w:rFonts w:ascii="Arial" w:hAnsi="Arial" w:cs="Arial"/>
          <w:color w:val="000000" w:themeColor="text1"/>
        </w:rPr>
        <w:t>.</w:t>
      </w:r>
    </w:p>
    <w:p w14:paraId="75744B3F" w14:textId="77777777" w:rsidR="00F0521A" w:rsidRPr="00F0521A" w:rsidRDefault="00F0521A" w:rsidP="00F0521A">
      <w:pPr>
        <w:spacing w:line="360" w:lineRule="auto"/>
        <w:contextualSpacing/>
        <w:jc w:val="both"/>
        <w:rPr>
          <w:rFonts w:ascii="Arial" w:hAnsi="Arial" w:cs="Arial"/>
          <w:color w:val="000000" w:themeColor="text1"/>
        </w:rPr>
      </w:pPr>
    </w:p>
    <w:p w14:paraId="7300F230" w14:textId="77777777"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 xml:space="preserve">Segundo Oates (1972), deve-se centralizar (descentralizar) funções com mais (menos) efeitos </w:t>
      </w:r>
      <w:r w:rsidRPr="00F0521A">
        <w:rPr>
          <w:rFonts w:ascii="Arial" w:hAnsi="Arial" w:cs="Arial"/>
          <w:i/>
          <w:color w:val="000000" w:themeColor="text1"/>
        </w:rPr>
        <w:t>spill-over</w:t>
      </w:r>
      <w:r w:rsidRPr="00F0521A">
        <w:rPr>
          <w:rStyle w:val="Refdenotaderodap"/>
          <w:rFonts w:ascii="Arial" w:hAnsi="Arial" w:cs="Arial"/>
          <w:i/>
          <w:color w:val="000000" w:themeColor="text1"/>
        </w:rPr>
        <w:footnoteReference w:id="4"/>
      </w:r>
      <w:r w:rsidRPr="00F0521A">
        <w:rPr>
          <w:rFonts w:ascii="Arial" w:hAnsi="Arial" w:cs="Arial"/>
          <w:color w:val="000000" w:themeColor="text1"/>
        </w:rPr>
        <w:t xml:space="preserve"> e menos (mais) heterogeneidade das preferências entre jurisdições. Todavia, uma importante limitação da análise de Oates (1972) reside no fato de que se assume que os governos maximizam bem-estar, mas não está claro o quão distante esses </w:t>
      </w:r>
      <w:r w:rsidRPr="00F0521A">
        <w:rPr>
          <w:rFonts w:ascii="Arial" w:hAnsi="Arial" w:cs="Arial"/>
          <w:i/>
          <w:color w:val="000000" w:themeColor="text1"/>
        </w:rPr>
        <w:t>insigths</w:t>
      </w:r>
      <w:r w:rsidRPr="00F0521A">
        <w:rPr>
          <w:rFonts w:ascii="Arial" w:hAnsi="Arial" w:cs="Arial"/>
          <w:color w:val="000000" w:themeColor="text1"/>
        </w:rPr>
        <w:t xml:space="preserve"> poderiam ir em um ambiente político-econômico mais realista.</w:t>
      </w:r>
    </w:p>
    <w:p w14:paraId="06580072" w14:textId="77777777"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lastRenderedPageBreak/>
        <w:t>Oates (1972) argumenta que os governos locais são melhores informados a respeito das preferências de seus cidadãos do que os governos central ou federal, significando que a provisão descentralizada de bens e serviços públicos deve ser mais eficiente do que a provisão centralizada. De maneira específica, devido às preferências e circunstâncias de seu eleitorado, a prestação descentralizada de bens e serviços públicos pelos governos locais aumenta o bem-estar econômico em um patamar acima dos níveis uniformes que seriam observados sob provisão nacional. A justificativa para esse entendimento reside no fato de que o nível eficiente do fornecimento de um bem ou serviço público local, para o qual a soma dos benefícios marginais dos residentes iguala seus custos marginais, deve variar entre as jurisdições como um resultado das diferenças nas preferências dos residentes e nos diferenciais de custos. A fim de maximizar o bem-estar social total, exige-se que o fornecimento local também varie em conformidade (OATES. 1999).</w:t>
      </w:r>
    </w:p>
    <w:p w14:paraId="7915C331" w14:textId="3DE747CC"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Algumas observações se destacam a respeito desse teorema. Primeiro, o bem-estar da provisão centralizada só será igual ao da provisão descentralizada se, coincidentemente, todas as jurisdições otimizarem seu bem-estar com a mesma cesta, sendo exatamente a escolhida pelo governo central. Segundo, os possíveis ganhos da descentralização dependem do grau de diversidade tanto no nível nacional como no nível local: (</w:t>
      </w:r>
      <w:r w:rsidR="00107504">
        <w:rPr>
          <w:rFonts w:ascii="Arial" w:hAnsi="Arial" w:cs="Arial"/>
          <w:color w:val="000000" w:themeColor="text1"/>
        </w:rPr>
        <w:t>1</w:t>
      </w:r>
      <w:r w:rsidRPr="00F0521A">
        <w:rPr>
          <w:rFonts w:ascii="Arial" w:hAnsi="Arial" w:cs="Arial"/>
          <w:color w:val="000000" w:themeColor="text1"/>
        </w:rPr>
        <w:t>) quanto mais homogêneas forem as comunidades internamente e mais heterogêneas forem as jurisdições entre si, maiores os ganhos da descentralização; (</w:t>
      </w:r>
      <w:r w:rsidR="00107504">
        <w:rPr>
          <w:rFonts w:ascii="Arial" w:hAnsi="Arial" w:cs="Arial"/>
          <w:color w:val="000000" w:themeColor="text1"/>
        </w:rPr>
        <w:t>2</w:t>
      </w:r>
      <w:r w:rsidRPr="00F0521A">
        <w:rPr>
          <w:rFonts w:ascii="Arial" w:hAnsi="Arial" w:cs="Arial"/>
          <w:color w:val="000000" w:themeColor="text1"/>
        </w:rPr>
        <w:t>) se as pessoas tiverem preferências semelhantes, ou se as diversidades se espalharem igualmente entre as localidades, não haverá qualquer ganho com a descentralização; (</w:t>
      </w:r>
      <w:r w:rsidR="00107504">
        <w:rPr>
          <w:rFonts w:ascii="Arial" w:hAnsi="Arial" w:cs="Arial"/>
          <w:color w:val="000000" w:themeColor="text1"/>
        </w:rPr>
        <w:t>3</w:t>
      </w:r>
      <w:r w:rsidRPr="00F0521A">
        <w:rPr>
          <w:rFonts w:ascii="Arial" w:hAnsi="Arial" w:cs="Arial"/>
          <w:color w:val="000000" w:themeColor="text1"/>
        </w:rPr>
        <w:t xml:space="preserve">) um dos pressupostos implícitos para os ganhos de bem-estar da provisão descentralizada é a existência de </w:t>
      </w:r>
      <w:r w:rsidRPr="00107504">
        <w:rPr>
          <w:rFonts w:ascii="Arial" w:hAnsi="Arial" w:cs="Arial"/>
          <w:color w:val="000000" w:themeColor="text1"/>
        </w:rPr>
        <w:t>assimetria de informação</w:t>
      </w:r>
      <w:r w:rsidRPr="00F0521A">
        <w:rPr>
          <w:rFonts w:ascii="Arial" w:hAnsi="Arial" w:cs="Arial"/>
          <w:color w:val="000000" w:themeColor="text1"/>
        </w:rPr>
        <w:t xml:space="preserve"> entre localidades e governo central. Se o governo central tiver conhecimento das preferências de cada localidade, ele poderia, em princípio, ofertar o nível ótimo de cada comunidade sem perda de bem-estar; (</w:t>
      </w:r>
      <w:r w:rsidR="00107504">
        <w:rPr>
          <w:rFonts w:ascii="Arial" w:hAnsi="Arial" w:cs="Arial"/>
          <w:color w:val="000000" w:themeColor="text1"/>
        </w:rPr>
        <w:t>4</w:t>
      </w:r>
      <w:r w:rsidRPr="00F0521A">
        <w:rPr>
          <w:rFonts w:ascii="Arial" w:hAnsi="Arial" w:cs="Arial"/>
          <w:color w:val="000000" w:themeColor="text1"/>
        </w:rPr>
        <w:t>) é difícil para o governo central, na prática, observar quais as preferências de cada jurisdição, o que reforça a tese de assimetria de informação; (</w:t>
      </w:r>
      <w:r w:rsidR="00107504">
        <w:rPr>
          <w:rFonts w:ascii="Arial" w:hAnsi="Arial" w:cs="Arial"/>
          <w:color w:val="000000" w:themeColor="text1"/>
        </w:rPr>
        <w:t>5</w:t>
      </w:r>
      <w:r w:rsidRPr="00F0521A">
        <w:rPr>
          <w:rFonts w:ascii="Arial" w:hAnsi="Arial" w:cs="Arial"/>
          <w:color w:val="000000" w:themeColor="text1"/>
        </w:rPr>
        <w:t xml:space="preserve">) há, em geral, restrições políticas a respeito da </w:t>
      </w:r>
      <w:r w:rsidRPr="00F0521A">
        <w:rPr>
          <w:rFonts w:ascii="Arial" w:hAnsi="Arial" w:cs="Arial"/>
          <w:color w:val="000000" w:themeColor="text1"/>
        </w:rPr>
        <w:lastRenderedPageBreak/>
        <w:t>provisão diferenciada de bens públicos (“tratamento desigual entre as localidades”).</w:t>
      </w:r>
    </w:p>
    <w:p w14:paraId="52EE2E54" w14:textId="77777777"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 xml:space="preserve">Segundo VO (2010), as hipóteses de Oates sobre a provisão uniforme de bens públicos pelo governo nacional não refletem a realidade em um modo </w:t>
      </w:r>
      <w:r w:rsidRPr="00F0521A">
        <w:rPr>
          <w:rFonts w:ascii="Arial" w:hAnsi="Arial" w:cs="Arial"/>
          <w:i/>
          <w:color w:val="000000" w:themeColor="text1"/>
        </w:rPr>
        <w:t>stricto sensu</w:t>
      </w:r>
      <w:r w:rsidRPr="00F0521A">
        <w:rPr>
          <w:rFonts w:ascii="Arial" w:hAnsi="Arial" w:cs="Arial"/>
          <w:color w:val="000000" w:themeColor="text1"/>
        </w:rPr>
        <w:t>, mas pode se tornar uma aproximação razoável por duas principais razões. Primeiro, o governo nacional não tem informação extensiva sobre a diversidade dos gostos e preferências locais. Em outras palavras, existe uma assimetria de informações relacionada aos gostos locais entre o governo nacional e os governos subnacionais. Segundo, enquanto os governos nacionais podem fornecer diferentes níveis ou tipos de serviços públicos em diferentes regiões, existem restrições políticas ou constitucionais no fornecimento dos bens e serviços públicos de modo uniforme a fim de evitar possíveis consequências políticas adversas que possam se levantar a partir da diferenciação do nível de bens e serviços fornecidos através das jurisdições subnacionais.</w:t>
      </w:r>
    </w:p>
    <w:p w14:paraId="16742C5A" w14:textId="77777777" w:rsidR="00F0521A" w:rsidRPr="00F0521A" w:rsidRDefault="00F0521A" w:rsidP="00F0521A">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Além disso, VO (2010) destaca outras duas hipóteses restritivas sobre o teorema da descentralização fiscal relacionadas a economias de escala e externalidades. Por um lado, assume-se que os custos de fornecimento são os mesmos quando os bens públicos são fornecidos pelo governo nacional ou por todos os governos subnacionais. Se não for esse o caso, é possível que o fornecimento centralizado possa ser menos caro quando existem economias de escala. Por outro lado, não existem externalidades no fornecimento de bens públicos, ou seja, cada nível de governo fornece uma quantidade eficiente de bens públicos para seus respectivos eleitores. Como resultado, constata-se a existência de um mapeamento perfeito, em que os governos locais fornecem bens e serviços públicos que tragam benefícios aos habitantes locais somente na mesma região. Trata-se de uma hipótese bastante forte porque, na prática, é quase impossível limitar os benefícios de bens públicos locais fornecidos em uma região especificada. Em outras palavras, as externalidades sempre estarão presentes em qualquer provisão de bens públicos.</w:t>
      </w:r>
    </w:p>
    <w:p w14:paraId="4E9D59E5" w14:textId="1C61E8AD" w:rsidR="004E0034" w:rsidRDefault="00F0521A" w:rsidP="004E0034">
      <w:pPr>
        <w:spacing w:line="360" w:lineRule="auto"/>
        <w:ind w:firstLine="708"/>
        <w:contextualSpacing/>
        <w:jc w:val="both"/>
        <w:rPr>
          <w:rFonts w:ascii="Arial" w:hAnsi="Arial" w:cs="Arial"/>
          <w:color w:val="000000" w:themeColor="text1"/>
        </w:rPr>
      </w:pPr>
      <w:r w:rsidRPr="00F0521A">
        <w:rPr>
          <w:rFonts w:ascii="Arial" w:hAnsi="Arial" w:cs="Arial"/>
          <w:color w:val="000000" w:themeColor="text1"/>
        </w:rPr>
        <w:t>Oates (1985) também observa que, enquanto os bens e serviços públicos fornecidos pelos governos locais atendem</w:t>
      </w:r>
      <w:r w:rsidR="00107504">
        <w:rPr>
          <w:rFonts w:ascii="Arial" w:hAnsi="Arial" w:cs="Arial"/>
          <w:color w:val="000000" w:themeColor="text1"/>
        </w:rPr>
        <w:t xml:space="preserve"> melhor</w:t>
      </w:r>
      <w:r w:rsidRPr="00F0521A">
        <w:rPr>
          <w:rFonts w:ascii="Arial" w:hAnsi="Arial" w:cs="Arial"/>
          <w:color w:val="000000" w:themeColor="text1"/>
        </w:rPr>
        <w:t xml:space="preserve"> às necessidades dos </w:t>
      </w:r>
      <w:r w:rsidRPr="00F0521A">
        <w:rPr>
          <w:rFonts w:ascii="Arial" w:hAnsi="Arial" w:cs="Arial"/>
          <w:color w:val="000000" w:themeColor="text1"/>
        </w:rPr>
        <w:lastRenderedPageBreak/>
        <w:t xml:space="preserve">cidadãos, em linha com Tiebout (1956), aumentos na demanda local por serviços públicos pode aumentar o tamanho do setor público. Por outro lado, Hamilton (1987) </w:t>
      </w:r>
      <w:r w:rsidRPr="00F0521A">
        <w:rPr>
          <w:rFonts w:ascii="Arial" w:hAnsi="Arial" w:cs="Arial"/>
          <w:i/>
          <w:color w:val="000000" w:themeColor="text1"/>
        </w:rPr>
        <w:t>apud</w:t>
      </w:r>
      <w:r w:rsidRPr="00F0521A">
        <w:rPr>
          <w:rFonts w:ascii="Arial" w:hAnsi="Arial" w:cs="Arial"/>
          <w:color w:val="000000" w:themeColor="text1"/>
        </w:rPr>
        <w:t xml:space="preserve"> VO (2010, p. 661) informa que a visão de Tiebout está em contraste com o trabalho de Samuelson, o qual enfatiza que as preferências por bens fornecidos publicamente não são reveladas porque a revelação resultaria em um aumento no pagamento por parte do cidadão que declara sua preferência sem qualquer aumento na quantidade do bem público fornecido. Para Oates (2005, p. 350) </w:t>
      </w:r>
      <w:r w:rsidRPr="00F0521A">
        <w:rPr>
          <w:rFonts w:ascii="Arial" w:hAnsi="Arial" w:cs="Arial"/>
          <w:i/>
          <w:color w:val="000000" w:themeColor="text1"/>
        </w:rPr>
        <w:t>apud</w:t>
      </w:r>
      <w:r w:rsidRPr="00F0521A">
        <w:rPr>
          <w:rFonts w:ascii="Arial" w:hAnsi="Arial" w:cs="Arial"/>
          <w:color w:val="000000" w:themeColor="text1"/>
        </w:rPr>
        <w:t xml:space="preserve"> VO (2010, p. 661), a mobilidade entre as jurisdições é possível mesmo embora existam alguns obstáculos típicos para a mobilidade do consumidor, tais como o compromisso ao emprego e a ligação familiar. Em uma sociedade descentralizada, os consumidores irão efetivamente classificar-se em grupos homogêneos cujas demandas por certos bens e serviços públicos são os mesmos (OATES, 2005, p. 353). Dessa forma, a provisão descentralizada de bens e serviços públicos locais é essencial.</w:t>
      </w:r>
    </w:p>
    <w:p w14:paraId="7327E506" w14:textId="77777777" w:rsidR="00523A0F" w:rsidRDefault="00523A0F" w:rsidP="004E0034">
      <w:pPr>
        <w:spacing w:line="360" w:lineRule="auto"/>
        <w:ind w:firstLine="708"/>
        <w:contextualSpacing/>
        <w:jc w:val="both"/>
        <w:rPr>
          <w:rFonts w:ascii="Arial" w:hAnsi="Arial" w:cs="Arial"/>
          <w:color w:val="000000" w:themeColor="text1"/>
        </w:rPr>
      </w:pPr>
    </w:p>
    <w:p w14:paraId="1EBE3802" w14:textId="39D05068" w:rsidR="006A1B6E" w:rsidRPr="0088266D" w:rsidRDefault="0088266D" w:rsidP="00802836">
      <w:pPr>
        <w:pStyle w:val="Subttulo"/>
      </w:pPr>
      <w:bookmarkStart w:id="10" w:name="_Toc16492062"/>
      <w:r w:rsidRPr="0088266D">
        <w:t>2.2</w:t>
      </w:r>
      <w:r>
        <w:t xml:space="preserve"> Estudos empíricos</w:t>
      </w:r>
      <w:r w:rsidR="00F0521A">
        <w:t xml:space="preserve"> sobre a relação entre descentralização fiscal e crescimento econômico</w:t>
      </w:r>
      <w:bookmarkEnd w:id="10"/>
    </w:p>
    <w:p w14:paraId="4331380A" w14:textId="77777777" w:rsidR="0088266D" w:rsidRDefault="0088266D" w:rsidP="001C33C3">
      <w:pPr>
        <w:spacing w:line="360" w:lineRule="auto"/>
        <w:jc w:val="both"/>
        <w:rPr>
          <w:rFonts w:ascii="Arial" w:hAnsi="Arial" w:cs="Arial"/>
        </w:rPr>
      </w:pPr>
    </w:p>
    <w:p w14:paraId="485FF2A6" w14:textId="4F8CBBFF" w:rsidR="001C33C3" w:rsidRDefault="001C33C3" w:rsidP="001C33C3">
      <w:pPr>
        <w:spacing w:line="360" w:lineRule="auto"/>
        <w:jc w:val="both"/>
        <w:rPr>
          <w:rFonts w:ascii="Arial" w:hAnsi="Arial" w:cs="Arial"/>
        </w:rPr>
      </w:pPr>
      <w:r>
        <w:rPr>
          <w:rFonts w:ascii="Arial" w:hAnsi="Arial" w:cs="Arial"/>
        </w:rPr>
        <w:tab/>
        <w:t>Formas tradicionais de medir a alocação de autoridade entre os níveis de governo envolvem a análise de aspectos contábeis como receitas e despesas, mas alguns problemas podem ser levantados.</w:t>
      </w:r>
      <w:r w:rsidR="0088266D">
        <w:rPr>
          <w:rFonts w:ascii="Arial" w:hAnsi="Arial" w:cs="Arial"/>
        </w:rPr>
        <w:t xml:space="preserve"> </w:t>
      </w:r>
      <w:r>
        <w:rPr>
          <w:rFonts w:ascii="Arial" w:hAnsi="Arial" w:cs="Arial"/>
        </w:rPr>
        <w:t>Em primeiro lugar, no caso de transferências intergovernamentais voluntárias, mesmo que o nível de governo que a receba tenha</w:t>
      </w:r>
      <w:r w:rsidR="0063287D">
        <w:rPr>
          <w:rFonts w:ascii="Arial" w:hAnsi="Arial" w:cs="Arial"/>
        </w:rPr>
        <w:t xml:space="preserve"> uma</w:t>
      </w:r>
      <w:r>
        <w:rPr>
          <w:rFonts w:ascii="Arial" w:hAnsi="Arial" w:cs="Arial"/>
        </w:rPr>
        <w:t xml:space="preserve"> alt</w:t>
      </w:r>
      <w:r w:rsidR="0063287D">
        <w:rPr>
          <w:rFonts w:ascii="Arial" w:hAnsi="Arial" w:cs="Arial"/>
        </w:rPr>
        <w:t>a</w:t>
      </w:r>
      <w:r>
        <w:rPr>
          <w:rFonts w:ascii="Arial" w:hAnsi="Arial" w:cs="Arial"/>
        </w:rPr>
        <w:t xml:space="preserve">  autonomia na decisão de como irá empregar o recurso, o fato de existir a transferência já decorreu de uma decisão tomada pelos níveis superiores, assim, não é </w:t>
      </w:r>
      <w:r w:rsidR="00495CBB">
        <w:rPr>
          <w:rFonts w:ascii="Arial" w:hAnsi="Arial" w:cs="Arial"/>
        </w:rPr>
        <w:t>apropriado</w:t>
      </w:r>
      <w:r>
        <w:rPr>
          <w:rFonts w:ascii="Arial" w:hAnsi="Arial" w:cs="Arial"/>
        </w:rPr>
        <w:t xml:space="preserve"> utilizar apenas os </w:t>
      </w:r>
      <w:r w:rsidR="0063287D">
        <w:rPr>
          <w:rFonts w:ascii="Arial" w:hAnsi="Arial" w:cs="Arial"/>
        </w:rPr>
        <w:t>volumes</w:t>
      </w:r>
      <w:r>
        <w:rPr>
          <w:rFonts w:ascii="Arial" w:hAnsi="Arial" w:cs="Arial"/>
        </w:rPr>
        <w:t xml:space="preserve"> de participação no gasto que cada tipo de receita representa.</w:t>
      </w:r>
    </w:p>
    <w:p w14:paraId="23ECB7ED" w14:textId="77777777" w:rsidR="001C33C3" w:rsidRDefault="001C33C3" w:rsidP="001C33C3">
      <w:pPr>
        <w:spacing w:line="360" w:lineRule="auto"/>
        <w:jc w:val="both"/>
        <w:rPr>
          <w:rFonts w:ascii="Arial" w:hAnsi="Arial" w:cs="Arial"/>
        </w:rPr>
      </w:pPr>
      <w:r>
        <w:rPr>
          <w:rFonts w:ascii="Arial" w:hAnsi="Arial" w:cs="Arial"/>
        </w:rPr>
        <w:tab/>
        <w:t>Há outros casos de transferências obrigatórias que acontecem por determinação legal e não dependem de decisão prévia das instâncias superiores de governo, entretanto, essas, via de regra, são vinculadas a determinadas ações, não restando ao ente recebedor muita autonomia quanto à sua alocação.</w:t>
      </w:r>
    </w:p>
    <w:p w14:paraId="4B58CEF9" w14:textId="77777777" w:rsidR="001C33C3" w:rsidRDefault="001C33C3" w:rsidP="001C33C3">
      <w:pPr>
        <w:spacing w:line="360" w:lineRule="auto"/>
        <w:jc w:val="both"/>
        <w:rPr>
          <w:rFonts w:ascii="Arial" w:hAnsi="Arial" w:cs="Arial"/>
        </w:rPr>
      </w:pPr>
      <w:r>
        <w:rPr>
          <w:rFonts w:ascii="Arial" w:hAnsi="Arial" w:cs="Arial"/>
        </w:rPr>
        <w:tab/>
        <w:t xml:space="preserve">Outro aspecto a ser considerado é o ambiente no qual acontece o fenômeno, os resultados obtidos podem variar significativamente de um país para outro, ou mesmo entre regiões diferentes dentro de um mesmo país. Bird e </w:t>
      </w:r>
      <w:r w:rsidRPr="00113C35">
        <w:rPr>
          <w:rFonts w:ascii="Arial" w:hAnsi="Arial" w:cs="Arial"/>
        </w:rPr>
        <w:t>Vaillancourt</w:t>
      </w:r>
      <w:r>
        <w:rPr>
          <w:rFonts w:ascii="Arial" w:hAnsi="Arial" w:cs="Arial"/>
        </w:rPr>
        <w:t xml:space="preserve"> (1999) ensinam que o fenômeno da descentralização fiscal não ocorre de forma generalizada, mas sim de forma isolada em um país, com suas próprias histórias, tradições e seu contexto institucional, político e econômico. A descentralização tem ocorrido em diferentes países de formas diferentes e em diferentes épocas. E até mesmo a mesma forma de implementação pode produzir resultados diferentes sob condições diversas.</w:t>
      </w:r>
    </w:p>
    <w:p w14:paraId="2908F210" w14:textId="40FE624F" w:rsidR="001C33C3" w:rsidRDefault="001C33C3" w:rsidP="001C33C3">
      <w:pPr>
        <w:spacing w:line="360" w:lineRule="auto"/>
        <w:jc w:val="both"/>
        <w:rPr>
          <w:rFonts w:ascii="Arial" w:hAnsi="Arial" w:cs="Arial"/>
        </w:rPr>
      </w:pPr>
      <w:r>
        <w:rPr>
          <w:rFonts w:ascii="Arial" w:hAnsi="Arial" w:cs="Arial"/>
        </w:rPr>
        <w:tab/>
        <w:t xml:space="preserve">De acordo com os autores, três formas de descentralização, que correspondem ao nível de independência para tomada de decisões, podem ser caracterizadas: </w:t>
      </w:r>
      <w:r w:rsidR="0063287D">
        <w:rPr>
          <w:rFonts w:ascii="Arial" w:hAnsi="Arial" w:cs="Arial"/>
        </w:rPr>
        <w:t xml:space="preserve">(1) </w:t>
      </w:r>
      <w:r>
        <w:rPr>
          <w:rFonts w:ascii="Arial" w:hAnsi="Arial" w:cs="Arial"/>
        </w:rPr>
        <w:t>desconcentração é a dispersão das responsabilidades do governo central para os governos locais;</w:t>
      </w:r>
      <w:r w:rsidR="0063287D">
        <w:rPr>
          <w:rFonts w:ascii="Arial" w:hAnsi="Arial" w:cs="Arial"/>
        </w:rPr>
        <w:t xml:space="preserve"> (2)</w:t>
      </w:r>
      <w:r>
        <w:rPr>
          <w:rFonts w:ascii="Arial" w:hAnsi="Arial" w:cs="Arial"/>
        </w:rPr>
        <w:t xml:space="preserve"> delegação como a situação na qual os governos locais agem como agentes do governo central e executam certas funções em seu nome e</w:t>
      </w:r>
      <w:r w:rsidR="0063287D">
        <w:rPr>
          <w:rFonts w:ascii="Arial" w:hAnsi="Arial" w:cs="Arial"/>
        </w:rPr>
        <w:t xml:space="preserve"> (3)</w:t>
      </w:r>
      <w:r>
        <w:rPr>
          <w:rFonts w:ascii="Arial" w:hAnsi="Arial" w:cs="Arial"/>
        </w:rPr>
        <w:t xml:space="preserve"> devolução a situação na qual não apenas a </w:t>
      </w:r>
      <w:r>
        <w:rPr>
          <w:rFonts w:ascii="Arial" w:hAnsi="Arial" w:cs="Arial"/>
        </w:rPr>
        <w:lastRenderedPageBreak/>
        <w:t>implementação como também a autoridade para decisão está nas mãos dos governos locais.</w:t>
      </w:r>
    </w:p>
    <w:p w14:paraId="544D161D" w14:textId="6514FC2D" w:rsidR="00E85A40" w:rsidRDefault="00E85A40" w:rsidP="00370F1F">
      <w:pPr>
        <w:spacing w:line="360" w:lineRule="auto"/>
        <w:ind w:firstLine="708"/>
        <w:jc w:val="both"/>
        <w:rPr>
          <w:rFonts w:ascii="Arial" w:hAnsi="Arial" w:cs="Arial"/>
        </w:rPr>
      </w:pPr>
      <w:r>
        <w:rPr>
          <w:rFonts w:ascii="Arial" w:hAnsi="Arial" w:cs="Arial"/>
        </w:rPr>
        <w:t>Zhang e Zou (199</w:t>
      </w:r>
      <w:r w:rsidR="00495CBB">
        <w:rPr>
          <w:rFonts w:ascii="Arial" w:hAnsi="Arial" w:cs="Arial"/>
        </w:rPr>
        <w:t>8</w:t>
      </w:r>
      <w:r>
        <w:rPr>
          <w:rFonts w:ascii="Arial" w:hAnsi="Arial" w:cs="Arial"/>
        </w:rPr>
        <w:t>) realizaram um estudo com dados da China a respeito de como a alocação de recursos fiscais entre o governo central e os governos locais afetou o crescimento econômico. Utilizaram dados de 1980 a 1992 de 28 províncias e concluíram que no caso em questão houve uma relação negativa entre a descentralização fiscal e o crescimento econômico das províncias, fato surpreendente em contraste com o conhecimento teórico disponível que diz o contrário. Os autores consideraram, entretanto, que os resultados podem ser explicados pelo estágio corrente de desenvolvimento econômico observado no país à época, quando o governo central fazia investimentos substanciais em projetos de prioridade nacional como rodovias, ferrovias, energia e telecomunicações. Estes investimentos podem ter um impacto muito mais significativo no crescimento das províncias quando realizados pelo governo central, do que suas contrapartes em cada província.</w:t>
      </w:r>
    </w:p>
    <w:p w14:paraId="1BB61DFA" w14:textId="711B42AE" w:rsidR="00D70E15" w:rsidRDefault="00E85A40" w:rsidP="001C33C3">
      <w:pPr>
        <w:spacing w:line="360" w:lineRule="auto"/>
        <w:jc w:val="both"/>
        <w:rPr>
          <w:rFonts w:ascii="Arial" w:hAnsi="Arial" w:cs="Arial"/>
        </w:rPr>
      </w:pPr>
      <w:r>
        <w:rPr>
          <w:rFonts w:ascii="Arial" w:hAnsi="Arial" w:cs="Arial"/>
        </w:rPr>
        <w:tab/>
        <w:t>Outro estudo que não confirmou a expectativa teórica foi o de Davoodi e Zou (199</w:t>
      </w:r>
      <w:r w:rsidR="00495CBB">
        <w:rPr>
          <w:rFonts w:ascii="Arial" w:hAnsi="Arial" w:cs="Arial"/>
        </w:rPr>
        <w:t>8</w:t>
      </w:r>
      <w:r>
        <w:rPr>
          <w:rFonts w:ascii="Arial" w:hAnsi="Arial" w:cs="Arial"/>
        </w:rPr>
        <w:t xml:space="preserve">). Utilizaram dados de 46 países do período de 1970 a 1989 para investigar a relação entre descentralização fiscal e crescimento econômico. Para os países em desenvolvimento foi encontrada uma relação negativa e nenhuma relação para os países desenvolvidos. No que diz respeito a este estudo, é preciso considerar que diferenças culturais e estruturais entre os diversos países são substanciais, sem os devidos ajustes é difícil determinar o real efeito da descentralização fiscal, fato reconhecido pelos autores. Outro aspecto que eles ressaltam é o de que a medida de descentralização precisa refletir a autonomia dos governos subnacionais em decidir como realizará seus gastos, caso não exista autonomia neste </w:t>
      </w:r>
      <w:r w:rsidR="00D9555E">
        <w:rPr>
          <w:rFonts w:ascii="Arial" w:hAnsi="Arial" w:cs="Arial"/>
        </w:rPr>
        <w:t>sentido</w:t>
      </w:r>
      <w:r>
        <w:rPr>
          <w:rFonts w:ascii="Arial" w:hAnsi="Arial" w:cs="Arial"/>
        </w:rPr>
        <w:t>, os governos subnacionais se comportam como meros agentes do governo central.</w:t>
      </w:r>
    </w:p>
    <w:p w14:paraId="573B0DDA" w14:textId="77777777" w:rsidR="001C33C3" w:rsidRDefault="001C33C3" w:rsidP="001C33C3">
      <w:pPr>
        <w:spacing w:line="360" w:lineRule="auto"/>
        <w:jc w:val="both"/>
        <w:rPr>
          <w:rFonts w:ascii="Arial" w:hAnsi="Arial" w:cs="Arial"/>
        </w:rPr>
      </w:pPr>
      <w:r>
        <w:rPr>
          <w:rFonts w:ascii="Arial" w:hAnsi="Arial" w:cs="Arial"/>
        </w:rPr>
        <w:tab/>
        <w:t>Após estabelecidos aspectos essenciais à avaliação da descentralização fiscal é preciso entender de que forma ela fomenta o crescimento econômico. Entre várias teorias da Economia do Setor Público, o Modelo de Tiebout pode ser utilizado como ponto de partida para a compreensão do fenômeno.</w:t>
      </w:r>
    </w:p>
    <w:p w14:paraId="0F8F4D53" w14:textId="3DDA0279" w:rsidR="001C33C3" w:rsidRDefault="001C33C3" w:rsidP="001C33C3">
      <w:pPr>
        <w:spacing w:line="360" w:lineRule="auto"/>
        <w:jc w:val="both"/>
        <w:rPr>
          <w:rFonts w:ascii="Arial" w:hAnsi="Arial" w:cs="Arial"/>
        </w:rPr>
      </w:pPr>
      <w:r>
        <w:rPr>
          <w:rFonts w:ascii="Arial" w:hAnsi="Arial" w:cs="Arial"/>
        </w:rPr>
        <w:lastRenderedPageBreak/>
        <w:tab/>
        <w:t>Em linhas gerais, o modelo descreve um ambiente com grande possibilidade de mobilidade das famílias, que por terem essa liberdade “votam com os pés”, ou seja, não há grandes impedimentos para que se mudem para um</w:t>
      </w:r>
      <w:r w:rsidR="00D9555E">
        <w:rPr>
          <w:rFonts w:ascii="Arial" w:hAnsi="Arial" w:cs="Arial"/>
        </w:rPr>
        <w:t>a</w:t>
      </w:r>
      <w:r>
        <w:rPr>
          <w:rFonts w:ascii="Arial" w:hAnsi="Arial" w:cs="Arial"/>
        </w:rPr>
        <w:t xml:space="preserve"> </w:t>
      </w:r>
      <w:r w:rsidR="00D9555E">
        <w:rPr>
          <w:rFonts w:ascii="Arial" w:hAnsi="Arial" w:cs="Arial"/>
        </w:rPr>
        <w:t xml:space="preserve">localidade </w:t>
      </w:r>
      <w:r>
        <w:rPr>
          <w:rFonts w:ascii="Arial" w:hAnsi="Arial" w:cs="Arial"/>
        </w:rPr>
        <w:t>que forneça bens e serviços públicos que satisfaçam melhor suas expectativas. Com base nessa hipótese, ao se considerar que um nível de governo local tem mais facilidade em identificar os anseios de sua população do que o governo nacional</w:t>
      </w:r>
      <w:r w:rsidR="00E85A40">
        <w:rPr>
          <w:rFonts w:ascii="Arial" w:hAnsi="Arial" w:cs="Arial"/>
        </w:rPr>
        <w:t>,</w:t>
      </w:r>
      <w:r>
        <w:rPr>
          <w:rFonts w:ascii="Arial" w:hAnsi="Arial" w:cs="Arial"/>
        </w:rPr>
        <w:t xml:space="preserve"> por exemplo, a descentralização fiscal em prol do governo local torna mais eficiente a alocação dos recursos em função das demandas da sociedade. </w:t>
      </w:r>
    </w:p>
    <w:p w14:paraId="07961690" w14:textId="173B8FB5" w:rsidR="001C33C3" w:rsidRDefault="001C33C3" w:rsidP="001C33C3">
      <w:pPr>
        <w:spacing w:line="360" w:lineRule="auto"/>
        <w:jc w:val="both"/>
        <w:rPr>
          <w:rFonts w:ascii="Arial" w:hAnsi="Arial" w:cs="Arial"/>
        </w:rPr>
      </w:pPr>
      <w:r>
        <w:rPr>
          <w:rFonts w:ascii="Arial" w:hAnsi="Arial" w:cs="Arial"/>
        </w:rPr>
        <w:tab/>
      </w:r>
      <w:r w:rsidR="00495CBB">
        <w:rPr>
          <w:rFonts w:ascii="Arial" w:hAnsi="Arial" w:cs="Arial"/>
        </w:rPr>
        <w:t>Além dos trabalhos mencionados, estudos mais recentes têm encontrado resultados variados no que diz respeito à descentralização fiscal como forma de fomento do crescimento econômico</w:t>
      </w:r>
      <w:r w:rsidR="0079695F">
        <w:rPr>
          <w:rFonts w:ascii="Arial" w:hAnsi="Arial" w:cs="Arial"/>
        </w:rPr>
        <w:t>.</w:t>
      </w:r>
      <w:r w:rsidR="00495CBB">
        <w:rPr>
          <w:rFonts w:ascii="Arial" w:hAnsi="Arial" w:cs="Arial"/>
        </w:rPr>
        <w:t xml:space="preserve"> </w:t>
      </w:r>
      <w:r w:rsidR="0079695F">
        <w:rPr>
          <w:rFonts w:ascii="Arial" w:hAnsi="Arial" w:cs="Arial"/>
        </w:rPr>
        <w:t>Ap</w:t>
      </w:r>
      <w:r w:rsidR="00495CBB">
        <w:rPr>
          <w:rFonts w:ascii="Arial" w:hAnsi="Arial" w:cs="Arial"/>
        </w:rPr>
        <w:t>ós os anos 2000</w:t>
      </w:r>
      <w:r w:rsidR="0079695F">
        <w:rPr>
          <w:rFonts w:ascii="Arial" w:hAnsi="Arial" w:cs="Arial"/>
        </w:rPr>
        <w:t>,</w:t>
      </w:r>
      <w:r w:rsidR="00495CBB">
        <w:rPr>
          <w:rFonts w:ascii="Arial" w:hAnsi="Arial" w:cs="Arial"/>
        </w:rPr>
        <w:t xml:space="preserve"> diversos autores</w:t>
      </w:r>
      <w:r w:rsidR="0079695F">
        <w:rPr>
          <w:rFonts w:ascii="Arial" w:hAnsi="Arial" w:cs="Arial"/>
        </w:rPr>
        <w:t xml:space="preserve"> de diferentes partes do mundo</w:t>
      </w:r>
      <w:r w:rsidR="00495CBB">
        <w:rPr>
          <w:rFonts w:ascii="Arial" w:hAnsi="Arial" w:cs="Arial"/>
        </w:rPr>
        <w:t xml:space="preserve"> realizaram estudos com técnicas e conjuntos de dados variados</w:t>
      </w:r>
      <w:r w:rsidR="0079695F">
        <w:rPr>
          <w:rFonts w:ascii="Arial" w:hAnsi="Arial" w:cs="Arial"/>
        </w:rPr>
        <w:t>.</w:t>
      </w:r>
    </w:p>
    <w:p w14:paraId="473D9C63" w14:textId="77777777" w:rsidR="0079695F" w:rsidRDefault="0079695F" w:rsidP="0079695F">
      <w:pPr>
        <w:spacing w:line="360" w:lineRule="auto"/>
        <w:jc w:val="both"/>
        <w:rPr>
          <w:rFonts w:ascii="Arial" w:hAnsi="Arial" w:cs="Arial"/>
        </w:rPr>
      </w:pPr>
      <w:r>
        <w:rPr>
          <w:rFonts w:ascii="Arial" w:hAnsi="Arial" w:cs="Arial"/>
        </w:rPr>
        <w:tab/>
        <w:t>Akai e Sakata (2002) buscaram evidências de que a descentralização fiscal contribui para o crescimento econômico, de acordo com a hipótese teórica e contrariando resultados obtidos em outros trabalhos realizados com metodologias diferentes.</w:t>
      </w:r>
    </w:p>
    <w:p w14:paraId="21A54B19" w14:textId="6F9DC022" w:rsidR="0079695F" w:rsidRDefault="0079695F" w:rsidP="0079695F">
      <w:pPr>
        <w:spacing w:line="360" w:lineRule="auto"/>
        <w:jc w:val="both"/>
        <w:rPr>
          <w:rFonts w:ascii="Arial" w:hAnsi="Arial" w:cs="Arial"/>
        </w:rPr>
      </w:pPr>
      <w:r>
        <w:rPr>
          <w:rFonts w:ascii="Arial" w:hAnsi="Arial" w:cs="Arial"/>
        </w:rPr>
        <w:tab/>
        <w:t xml:space="preserve">Com relação aos trabalhos anteriores que </w:t>
      </w:r>
      <w:r w:rsidR="00967B5D">
        <w:rPr>
          <w:rFonts w:ascii="Arial" w:hAnsi="Arial" w:cs="Arial"/>
        </w:rPr>
        <w:t xml:space="preserve">obtiveram </w:t>
      </w:r>
      <w:r>
        <w:rPr>
          <w:rFonts w:ascii="Arial" w:hAnsi="Arial" w:cs="Arial"/>
        </w:rPr>
        <w:t>resultados contrários à hipótese teórica, os autores fazem algumas ressalvas: (1) Zhang e Zou (1998) utilizaram dados de um período de grande crescimento econômico na China e nos Estados Unidos. Akai e Sakata argumentam que em tais períodos é requerido que o nível mais alto de governo promova o investimento público que gere grandes externalidades nos estágios iniciais do desenvolvimento econômico, o que explica a relação negativa encontrada para os dados utilizados; (2) Davoodi e Zou (1998) usam dados de diversos países sem levar em consideração que as diferenças institucionais e culturais são substanciais, o que torna difícil determinar o verdadeiro efeito da descentralização fiscal.</w:t>
      </w:r>
    </w:p>
    <w:p w14:paraId="5D3EBC59" w14:textId="066EE752" w:rsidR="0079695F" w:rsidRDefault="0079695F" w:rsidP="0079695F">
      <w:pPr>
        <w:spacing w:line="360" w:lineRule="auto"/>
        <w:jc w:val="both"/>
        <w:rPr>
          <w:rFonts w:ascii="Arial" w:hAnsi="Arial" w:cs="Arial"/>
        </w:rPr>
      </w:pPr>
      <w:r>
        <w:rPr>
          <w:rFonts w:ascii="Arial" w:hAnsi="Arial" w:cs="Arial"/>
        </w:rPr>
        <w:tab/>
        <w:t xml:space="preserve">Para contornar os problemas apontados em relação aos trabalhos anteriores, </w:t>
      </w:r>
      <w:r w:rsidR="00967B5D">
        <w:rPr>
          <w:rFonts w:ascii="Arial" w:hAnsi="Arial" w:cs="Arial"/>
        </w:rPr>
        <w:t>Akai e Sakata</w:t>
      </w:r>
      <w:r>
        <w:rPr>
          <w:rFonts w:ascii="Arial" w:hAnsi="Arial" w:cs="Arial"/>
        </w:rPr>
        <w:t xml:space="preserve"> u</w:t>
      </w:r>
      <w:r w:rsidR="00967B5D">
        <w:rPr>
          <w:rFonts w:ascii="Arial" w:hAnsi="Arial" w:cs="Arial"/>
        </w:rPr>
        <w:t>tilizaram</w:t>
      </w:r>
      <w:r>
        <w:rPr>
          <w:rFonts w:ascii="Arial" w:hAnsi="Arial" w:cs="Arial"/>
        </w:rPr>
        <w:t xml:space="preserve"> uma base com dados dos 50 </w:t>
      </w:r>
      <w:r w:rsidR="00967B5D">
        <w:rPr>
          <w:rFonts w:ascii="Arial" w:hAnsi="Arial" w:cs="Arial"/>
        </w:rPr>
        <w:t>e</w:t>
      </w:r>
      <w:r>
        <w:rPr>
          <w:rFonts w:ascii="Arial" w:hAnsi="Arial" w:cs="Arial"/>
        </w:rPr>
        <w:t xml:space="preserve">stados dos Estados Unidos no período de 1992 a 1996, argumentando que se trata de uma </w:t>
      </w:r>
      <w:r>
        <w:rPr>
          <w:rFonts w:ascii="Arial" w:hAnsi="Arial" w:cs="Arial"/>
        </w:rPr>
        <w:lastRenderedPageBreak/>
        <w:t xml:space="preserve">base mais apropriada por não incorporar períodos de grande crescimento econômico e que não há diferenças históricas substanciais entre os </w:t>
      </w:r>
      <w:r w:rsidR="00967B5D">
        <w:rPr>
          <w:rFonts w:ascii="Arial" w:hAnsi="Arial" w:cs="Arial"/>
        </w:rPr>
        <w:t>e</w:t>
      </w:r>
      <w:r>
        <w:rPr>
          <w:rFonts w:ascii="Arial" w:hAnsi="Arial" w:cs="Arial"/>
        </w:rPr>
        <w:t>stados estudados.</w:t>
      </w:r>
    </w:p>
    <w:p w14:paraId="4ACC79FF" w14:textId="28DFA724" w:rsidR="0079695F" w:rsidRDefault="0079695F" w:rsidP="0079695F">
      <w:pPr>
        <w:spacing w:line="360" w:lineRule="auto"/>
        <w:jc w:val="both"/>
        <w:rPr>
          <w:rFonts w:ascii="Arial" w:hAnsi="Arial" w:cs="Arial"/>
        </w:rPr>
      </w:pPr>
      <w:r>
        <w:rPr>
          <w:rFonts w:ascii="Arial" w:hAnsi="Arial" w:cs="Arial"/>
        </w:rPr>
        <w:tab/>
        <w:t>O modelo considera quatro indicadores de descentralização, avaliados individualmente: renda, gasto, autonomia e</w:t>
      </w:r>
      <w:r w:rsidR="00967B5D">
        <w:rPr>
          <w:rFonts w:ascii="Arial" w:hAnsi="Arial" w:cs="Arial"/>
        </w:rPr>
        <w:t xml:space="preserve"> uma</w:t>
      </w:r>
      <w:r>
        <w:rPr>
          <w:rFonts w:ascii="Arial" w:hAnsi="Arial" w:cs="Arial"/>
        </w:rPr>
        <w:t xml:space="preserve"> média entre renda e gasto. Além disso, variáveis independentes sobre distribuição de renda, educação, patentes, população entre outras, são utilizadas para testar o efeito da descentralização fiscal.</w:t>
      </w:r>
    </w:p>
    <w:p w14:paraId="6304E134" w14:textId="271BE8F2" w:rsidR="0079695F" w:rsidRDefault="0079695F" w:rsidP="0079695F">
      <w:pPr>
        <w:spacing w:line="360" w:lineRule="auto"/>
        <w:jc w:val="both"/>
        <w:rPr>
          <w:rFonts w:ascii="Arial" w:hAnsi="Arial" w:cs="Arial"/>
        </w:rPr>
      </w:pPr>
      <w:r>
        <w:rPr>
          <w:rFonts w:ascii="Arial" w:hAnsi="Arial" w:cs="Arial"/>
        </w:rPr>
        <w:tab/>
        <w:t>Os autores concluem então que há evidências, em ralação aos dados avaliados, de que a descentralização fiscal contribui</w:t>
      </w:r>
      <w:r w:rsidR="00967B5D">
        <w:rPr>
          <w:rFonts w:ascii="Arial" w:hAnsi="Arial" w:cs="Arial"/>
        </w:rPr>
        <w:t>u</w:t>
      </w:r>
      <w:r>
        <w:rPr>
          <w:rFonts w:ascii="Arial" w:hAnsi="Arial" w:cs="Arial"/>
        </w:rPr>
        <w:t xml:space="preserve"> positivamente para o crescimento econômico. Entretanto, apesar de terem conseguido demonstrar evidência da contribuição da descentralização fiscal para o desenvolvimento econômico, o trabalho dos autores não demonstra como a primeira contribui para o segundo.</w:t>
      </w:r>
    </w:p>
    <w:p w14:paraId="15CCF295" w14:textId="4FCF2D77" w:rsidR="0079695F" w:rsidRDefault="0079695F" w:rsidP="0079695F">
      <w:pPr>
        <w:spacing w:line="360" w:lineRule="auto"/>
        <w:jc w:val="both"/>
        <w:rPr>
          <w:rFonts w:ascii="Arial" w:hAnsi="Arial" w:cs="Arial"/>
        </w:rPr>
      </w:pPr>
      <w:r>
        <w:rPr>
          <w:rFonts w:ascii="Arial" w:hAnsi="Arial" w:cs="Arial"/>
        </w:rPr>
        <w:tab/>
        <w:t xml:space="preserve">Pode-se concluir do trabalho de Akai e Sakata (2002) que a seleção dos dados e período a ser analisado é de primordial importância para a </w:t>
      </w:r>
      <w:r w:rsidR="00967B5D">
        <w:rPr>
          <w:rFonts w:ascii="Arial" w:hAnsi="Arial" w:cs="Arial"/>
        </w:rPr>
        <w:t xml:space="preserve">obtenção </w:t>
      </w:r>
      <w:r>
        <w:rPr>
          <w:rFonts w:ascii="Arial" w:hAnsi="Arial" w:cs="Arial"/>
        </w:rPr>
        <w:t xml:space="preserve">de resultados úteis, por meio de uma </w:t>
      </w:r>
      <w:r w:rsidR="00967B5D">
        <w:rPr>
          <w:rFonts w:ascii="Arial" w:hAnsi="Arial" w:cs="Arial"/>
        </w:rPr>
        <w:t>avaliação que</w:t>
      </w:r>
      <w:r>
        <w:rPr>
          <w:rFonts w:ascii="Arial" w:hAnsi="Arial" w:cs="Arial"/>
        </w:rPr>
        <w:t xml:space="preserve"> evit</w:t>
      </w:r>
      <w:r w:rsidR="00967B5D">
        <w:rPr>
          <w:rFonts w:ascii="Arial" w:hAnsi="Arial" w:cs="Arial"/>
        </w:rPr>
        <w:t>ou</w:t>
      </w:r>
      <w:r>
        <w:rPr>
          <w:rFonts w:ascii="Arial" w:hAnsi="Arial" w:cs="Arial"/>
        </w:rPr>
        <w:t xml:space="preserve"> problemas apontados </w:t>
      </w:r>
      <w:r w:rsidR="00967B5D">
        <w:rPr>
          <w:rFonts w:ascii="Arial" w:hAnsi="Arial" w:cs="Arial"/>
        </w:rPr>
        <w:t>nos</w:t>
      </w:r>
      <w:r>
        <w:rPr>
          <w:rFonts w:ascii="Arial" w:hAnsi="Arial" w:cs="Arial"/>
        </w:rPr>
        <w:t xml:space="preserve"> trabalhos anteriores, os autores puderam chegar à conclusão de que o crescimento econômico foi de fato influenciado positivamente pela descentralização fiscal.</w:t>
      </w:r>
    </w:p>
    <w:p w14:paraId="7C7E821E" w14:textId="3D32E755" w:rsidR="0079695F" w:rsidRDefault="0079695F" w:rsidP="0079695F">
      <w:pPr>
        <w:spacing w:line="360" w:lineRule="auto"/>
        <w:jc w:val="both"/>
        <w:rPr>
          <w:rFonts w:ascii="Arial" w:hAnsi="Arial" w:cs="Arial"/>
        </w:rPr>
      </w:pPr>
      <w:r>
        <w:rPr>
          <w:rFonts w:ascii="Arial" w:hAnsi="Arial" w:cs="Arial"/>
        </w:rPr>
        <w:tab/>
        <w:t xml:space="preserve">Outro aspecto relevante sobre o tema é o </w:t>
      </w:r>
      <w:r w:rsidR="00BF02B6">
        <w:rPr>
          <w:rFonts w:ascii="Arial" w:hAnsi="Arial" w:cs="Arial"/>
        </w:rPr>
        <w:t>nível de renda</w:t>
      </w:r>
      <w:r>
        <w:rPr>
          <w:rFonts w:ascii="Arial" w:hAnsi="Arial" w:cs="Arial"/>
        </w:rPr>
        <w:t xml:space="preserve"> no qual se encontra o país ou países avaliados. Alguns autores argumentam que a relação entre descentralização fiscal e crescimento econômico pode apresentar sentidos diferentes a depender se o objeto da análise está num </w:t>
      </w:r>
      <w:r w:rsidR="00BF02B6">
        <w:rPr>
          <w:rFonts w:ascii="Arial" w:hAnsi="Arial" w:cs="Arial"/>
        </w:rPr>
        <w:t>patamar elevado de renda</w:t>
      </w:r>
      <w:r>
        <w:rPr>
          <w:rFonts w:ascii="Arial" w:hAnsi="Arial" w:cs="Arial"/>
        </w:rPr>
        <w:t xml:space="preserve"> não.</w:t>
      </w:r>
    </w:p>
    <w:p w14:paraId="516EE686" w14:textId="77777777" w:rsidR="0079695F" w:rsidRPr="0079695F" w:rsidRDefault="0079695F" w:rsidP="0079695F">
      <w:pPr>
        <w:spacing w:line="360" w:lineRule="auto"/>
        <w:jc w:val="both"/>
        <w:rPr>
          <w:rFonts w:ascii="Arial" w:hAnsi="Arial" w:cs="Arial"/>
        </w:rPr>
      </w:pPr>
      <w:r>
        <w:rPr>
          <w:rFonts w:ascii="Arial" w:hAnsi="Arial" w:cs="Arial"/>
        </w:rPr>
        <w:tab/>
        <w:t xml:space="preserve">Neste sentido, Thissen (2003) realiza um estudo que </w:t>
      </w:r>
      <w:r w:rsidRPr="0079695F">
        <w:rPr>
          <w:rFonts w:ascii="Arial" w:hAnsi="Arial" w:cs="Arial"/>
        </w:rPr>
        <w:t>aponta que o nível de descentralização fiscal nos países membros da Organização para Cooperação e Desenvolvimento Econômico – OCDE, convergiu nos últimos 30 anos para um nível intermediário e que tanto a descentralização quanto a centralização extremas são associadas a desvantagens para o crescimento econômico.</w:t>
      </w:r>
    </w:p>
    <w:p w14:paraId="268E8F1A" w14:textId="5A1002AC" w:rsidR="0079695F" w:rsidRPr="0079695F" w:rsidRDefault="0079695F" w:rsidP="0079695F">
      <w:pPr>
        <w:spacing w:line="360" w:lineRule="auto"/>
        <w:jc w:val="both"/>
        <w:rPr>
          <w:rFonts w:ascii="Arial" w:hAnsi="Arial" w:cs="Arial"/>
        </w:rPr>
      </w:pPr>
      <w:r w:rsidRPr="0079695F">
        <w:rPr>
          <w:rFonts w:ascii="Arial" w:hAnsi="Arial" w:cs="Arial"/>
        </w:rPr>
        <w:lastRenderedPageBreak/>
        <w:tab/>
        <w:t>É feit</w:t>
      </w:r>
      <w:r w:rsidR="00BF02B6">
        <w:rPr>
          <w:rFonts w:ascii="Arial" w:hAnsi="Arial" w:cs="Arial"/>
        </w:rPr>
        <w:t>a</w:t>
      </w:r>
      <w:r w:rsidRPr="0079695F">
        <w:rPr>
          <w:rFonts w:ascii="Arial" w:hAnsi="Arial" w:cs="Arial"/>
        </w:rPr>
        <w:t xml:space="preserve"> uma análise empírica de longo prazo na relação entre crescimento econômico per capita, formação de capital, crescimento dos fatores de produção e descentralização fiscal para os países de alta renda da OCDE. As evidências mostram que a relação é positiva quando a descentralização começa de níveis baixos e atinge um ápice</w:t>
      </w:r>
      <w:r w:rsidR="00967B5D">
        <w:rPr>
          <w:rFonts w:ascii="Arial" w:hAnsi="Arial" w:cs="Arial"/>
        </w:rPr>
        <w:t xml:space="preserve"> a partir do qual</w:t>
      </w:r>
      <w:r w:rsidRPr="0079695F">
        <w:rPr>
          <w:rFonts w:ascii="Arial" w:hAnsi="Arial" w:cs="Arial"/>
        </w:rPr>
        <w:t xml:space="preserve"> se torna negativa.</w:t>
      </w:r>
    </w:p>
    <w:p w14:paraId="4614ABEA" w14:textId="06B186DE" w:rsidR="0079695F" w:rsidRPr="0079695F" w:rsidRDefault="0079695F" w:rsidP="0079695F">
      <w:pPr>
        <w:spacing w:line="360" w:lineRule="auto"/>
        <w:jc w:val="both"/>
        <w:rPr>
          <w:rFonts w:ascii="Arial" w:hAnsi="Arial" w:cs="Arial"/>
        </w:rPr>
      </w:pPr>
      <w:r w:rsidRPr="0079695F">
        <w:rPr>
          <w:rFonts w:ascii="Arial" w:hAnsi="Arial" w:cs="Arial"/>
        </w:rPr>
        <w:tab/>
        <w:t>No trabalho</w:t>
      </w:r>
      <w:r w:rsidR="00967B5D">
        <w:rPr>
          <w:rFonts w:ascii="Arial" w:hAnsi="Arial" w:cs="Arial"/>
        </w:rPr>
        <w:t>,</w:t>
      </w:r>
      <w:r w:rsidRPr="0079695F">
        <w:rPr>
          <w:rFonts w:ascii="Arial" w:hAnsi="Arial" w:cs="Arial"/>
        </w:rPr>
        <w:t xml:space="preserve"> descentralização fiscal conota o poder legal de os governos subnacionais aumentarem receitas de impostos e programas de gastos por sua própria iniciativa.</w:t>
      </w:r>
    </w:p>
    <w:p w14:paraId="22141730" w14:textId="14BF2A95" w:rsidR="0079695F" w:rsidRPr="0079695F" w:rsidRDefault="0079695F" w:rsidP="0079695F">
      <w:pPr>
        <w:spacing w:line="360" w:lineRule="auto"/>
        <w:jc w:val="both"/>
        <w:rPr>
          <w:rFonts w:ascii="Arial" w:hAnsi="Arial" w:cs="Arial"/>
        </w:rPr>
      </w:pPr>
      <w:r w:rsidRPr="0079695F">
        <w:rPr>
          <w:rFonts w:ascii="Arial" w:hAnsi="Arial" w:cs="Arial"/>
        </w:rPr>
        <w:tab/>
        <w:t xml:space="preserve">A amostra utilizada </w:t>
      </w:r>
      <w:r w:rsidR="00967B5D">
        <w:rPr>
          <w:rFonts w:ascii="Arial" w:hAnsi="Arial" w:cs="Arial"/>
        </w:rPr>
        <w:t>engloba</w:t>
      </w:r>
      <w:r w:rsidRPr="0079695F">
        <w:rPr>
          <w:rFonts w:ascii="Arial" w:hAnsi="Arial" w:cs="Arial"/>
        </w:rPr>
        <w:t xml:space="preserve"> os países de alta renda da OCDE</w:t>
      </w:r>
      <w:r w:rsidR="00967B5D">
        <w:rPr>
          <w:rFonts w:ascii="Arial" w:hAnsi="Arial" w:cs="Arial"/>
        </w:rPr>
        <w:t>,</w:t>
      </w:r>
      <w:r w:rsidRPr="0079695F">
        <w:rPr>
          <w:rFonts w:ascii="Arial" w:hAnsi="Arial" w:cs="Arial"/>
        </w:rPr>
        <w:t xml:space="preserve"> exceto Luxemburgo por causa de sua população</w:t>
      </w:r>
      <w:r w:rsidR="00967B5D">
        <w:rPr>
          <w:rFonts w:ascii="Arial" w:hAnsi="Arial" w:cs="Arial"/>
        </w:rPr>
        <w:t xml:space="preserve"> ser</w:t>
      </w:r>
      <w:r w:rsidRPr="0079695F">
        <w:rPr>
          <w:rFonts w:ascii="Arial" w:hAnsi="Arial" w:cs="Arial"/>
        </w:rPr>
        <w:t xml:space="preserve"> muito pequena. A seleção foi feita para garantir homogeneidade</w:t>
      </w:r>
      <w:r w:rsidR="00BF02B6">
        <w:rPr>
          <w:rFonts w:ascii="Arial" w:hAnsi="Arial" w:cs="Arial"/>
        </w:rPr>
        <w:t>,</w:t>
      </w:r>
      <w:r w:rsidRPr="0079695F">
        <w:rPr>
          <w:rFonts w:ascii="Arial" w:hAnsi="Arial" w:cs="Arial"/>
        </w:rPr>
        <w:t xml:space="preserve"> compatibilidade, confiabilidade e disponibilidade dos dados</w:t>
      </w:r>
      <w:r w:rsidR="00BF02B6">
        <w:rPr>
          <w:rFonts w:ascii="Arial" w:hAnsi="Arial" w:cs="Arial"/>
        </w:rPr>
        <w:t>. Entretanto,</w:t>
      </w:r>
      <w:r w:rsidRPr="0079695F">
        <w:rPr>
          <w:rFonts w:ascii="Arial" w:hAnsi="Arial" w:cs="Arial"/>
        </w:rPr>
        <w:t xml:space="preserve"> mesmo</w:t>
      </w:r>
      <w:r w:rsidR="00BF02B6">
        <w:rPr>
          <w:rFonts w:ascii="Arial" w:hAnsi="Arial" w:cs="Arial"/>
        </w:rPr>
        <w:t xml:space="preserve"> em se tratando de</w:t>
      </w:r>
      <w:r w:rsidRPr="0079695F">
        <w:rPr>
          <w:rFonts w:ascii="Arial" w:hAnsi="Arial" w:cs="Arial"/>
        </w:rPr>
        <w:t xml:space="preserve"> países desenvolvidos exist</w:t>
      </w:r>
      <w:r w:rsidR="00967B5D">
        <w:rPr>
          <w:rFonts w:ascii="Arial" w:hAnsi="Arial" w:cs="Arial"/>
        </w:rPr>
        <w:t>iram</w:t>
      </w:r>
      <w:r w:rsidRPr="0079695F">
        <w:rPr>
          <w:rFonts w:ascii="Arial" w:hAnsi="Arial" w:cs="Arial"/>
        </w:rPr>
        <w:t xml:space="preserve"> lacunas nas séries históricas utilizadas para calcular os indicadores de descentralização fiscal.</w:t>
      </w:r>
    </w:p>
    <w:p w14:paraId="77CA447B" w14:textId="3B18BF6F" w:rsidR="0079695F" w:rsidRPr="0079695F" w:rsidRDefault="0079695F" w:rsidP="0079695F">
      <w:pPr>
        <w:spacing w:line="360" w:lineRule="auto"/>
        <w:jc w:val="both"/>
        <w:rPr>
          <w:rFonts w:ascii="Arial" w:hAnsi="Arial" w:cs="Arial"/>
        </w:rPr>
      </w:pPr>
      <w:r w:rsidRPr="0079695F">
        <w:rPr>
          <w:rFonts w:ascii="Arial" w:hAnsi="Arial" w:cs="Arial"/>
        </w:rPr>
        <w:tab/>
        <w:t>Para avaliar como os resultados são influenciados pelo impacto</w:t>
      </w:r>
      <w:r w:rsidR="00BF02B6">
        <w:rPr>
          <w:rFonts w:ascii="Arial" w:hAnsi="Arial" w:cs="Arial"/>
        </w:rPr>
        <w:t xml:space="preserve"> de</w:t>
      </w:r>
      <w:r w:rsidRPr="0079695F">
        <w:rPr>
          <w:rFonts w:ascii="Arial" w:hAnsi="Arial" w:cs="Arial"/>
        </w:rPr>
        <w:t xml:space="preserve"> países com estrutura de instituições formais relativamente similares, mas renda muito menor, foi considerado um grupo de controle (Argentina, Brasil, Coréia do Sul e África do Sul).</w:t>
      </w:r>
    </w:p>
    <w:p w14:paraId="22E80846" w14:textId="1BCA0DE4" w:rsidR="0079695F" w:rsidRDefault="0079695F" w:rsidP="0079695F">
      <w:pPr>
        <w:spacing w:line="360" w:lineRule="auto"/>
        <w:jc w:val="both"/>
        <w:rPr>
          <w:rFonts w:ascii="Arial" w:hAnsi="Arial" w:cs="Arial"/>
        </w:rPr>
      </w:pPr>
      <w:r w:rsidRPr="0079695F">
        <w:rPr>
          <w:rFonts w:ascii="Arial" w:hAnsi="Arial" w:cs="Arial"/>
        </w:rPr>
        <w:tab/>
        <w:t>O autor destaca que, de acordo com os indicadores de descentralização utilizados, nos últimos 30 anos, os países que inicialmente tinham baixo nível de descentralização tenderam a aument</w:t>
      </w:r>
      <w:r w:rsidR="00BF02B6">
        <w:rPr>
          <w:rFonts w:ascii="Arial" w:hAnsi="Arial" w:cs="Arial"/>
        </w:rPr>
        <w:t>á</w:t>
      </w:r>
      <w:r w:rsidRPr="0079695F">
        <w:rPr>
          <w:rFonts w:ascii="Arial" w:hAnsi="Arial" w:cs="Arial"/>
        </w:rPr>
        <w:t>-la</w:t>
      </w:r>
      <w:r w:rsidR="00BF02B6">
        <w:rPr>
          <w:rFonts w:ascii="Arial" w:hAnsi="Arial" w:cs="Arial"/>
        </w:rPr>
        <w:t>,</w:t>
      </w:r>
      <w:r w:rsidRPr="0079695F">
        <w:rPr>
          <w:rFonts w:ascii="Arial" w:hAnsi="Arial" w:cs="Arial"/>
        </w:rPr>
        <w:t xml:space="preserve"> enquanto os que inicialmente tinham altos níveis a reduziram. Há uma tendência de convergência para um nível mediano de descentralização. As análises de longo prazo dos efeitos da descentralização mostraram que há, de fato, um limite para ganhos econômicos decorrentes da descentralização fiscal.</w:t>
      </w:r>
    </w:p>
    <w:p w14:paraId="3183B354" w14:textId="4E7EF83E" w:rsidR="00BF02B6" w:rsidRDefault="00BF02B6" w:rsidP="0079695F">
      <w:pPr>
        <w:spacing w:line="360" w:lineRule="auto"/>
        <w:jc w:val="both"/>
        <w:rPr>
          <w:rFonts w:ascii="Arial" w:hAnsi="Arial" w:cs="Arial"/>
        </w:rPr>
      </w:pPr>
      <w:r>
        <w:rPr>
          <w:rFonts w:ascii="Arial" w:hAnsi="Arial" w:cs="Arial"/>
        </w:rPr>
        <w:tab/>
        <w:t>O nível de governo analisado também pode influenciar nos resultados obtidos, pode-se estudar a descentralização fiscal comparando países, estados de um país, municípios de um estado e ainda outras subdivisões administrativas conforme a organização do objeto do estudo realizado.</w:t>
      </w:r>
    </w:p>
    <w:p w14:paraId="088C12FC" w14:textId="717F5C68" w:rsidR="00BF02B6" w:rsidRDefault="00BF02B6" w:rsidP="00BF02B6">
      <w:pPr>
        <w:spacing w:line="360" w:lineRule="auto"/>
        <w:jc w:val="both"/>
        <w:rPr>
          <w:rFonts w:ascii="Arial" w:hAnsi="Arial" w:cs="Arial"/>
        </w:rPr>
      </w:pPr>
      <w:r>
        <w:rPr>
          <w:rFonts w:ascii="Arial" w:hAnsi="Arial" w:cs="Arial"/>
        </w:rPr>
        <w:lastRenderedPageBreak/>
        <w:tab/>
        <w:t>Assim, Stansel (2005) realizou um estudo</w:t>
      </w:r>
      <w:r w:rsidR="00AD3B3F">
        <w:rPr>
          <w:rFonts w:ascii="Arial" w:hAnsi="Arial" w:cs="Arial"/>
        </w:rPr>
        <w:t>,</w:t>
      </w:r>
      <w:r>
        <w:rPr>
          <w:rFonts w:ascii="Arial" w:hAnsi="Arial" w:cs="Arial"/>
        </w:rPr>
        <w:t xml:space="preserve"> com dados de 314 áreas metropolitanas dos Estados Unidos no período de 1960 a 1990</w:t>
      </w:r>
      <w:r w:rsidR="00AD3B3F">
        <w:rPr>
          <w:rFonts w:ascii="Arial" w:hAnsi="Arial" w:cs="Arial"/>
        </w:rPr>
        <w:t>,</w:t>
      </w:r>
      <w:r>
        <w:rPr>
          <w:rFonts w:ascii="Arial" w:hAnsi="Arial" w:cs="Arial"/>
        </w:rPr>
        <w:t xml:space="preserve"> sobre relação da descentralização fiscal e crescimento econômico local.</w:t>
      </w:r>
    </w:p>
    <w:p w14:paraId="00C0FBA2" w14:textId="561B7DFE" w:rsidR="00BF02B6" w:rsidRDefault="00BF02B6" w:rsidP="00BF02B6">
      <w:pPr>
        <w:spacing w:line="360" w:lineRule="auto"/>
        <w:jc w:val="both"/>
        <w:rPr>
          <w:rFonts w:ascii="Arial" w:hAnsi="Arial" w:cs="Arial"/>
        </w:rPr>
      </w:pPr>
      <w:r>
        <w:rPr>
          <w:rFonts w:ascii="Arial" w:hAnsi="Arial" w:cs="Arial"/>
        </w:rPr>
        <w:tab/>
        <w:t xml:space="preserve">O modelo proposto pelo pesquisador examinou duas variáveis dependentes para medir o crescimento econômico de uma área metropolitana: (1) crescimento do </w:t>
      </w:r>
      <w:r>
        <w:rPr>
          <w:rFonts w:ascii="Arial" w:hAnsi="Arial" w:cs="Arial"/>
          <w:i/>
          <w:iCs/>
        </w:rPr>
        <w:t>log</w:t>
      </w:r>
      <w:r>
        <w:rPr>
          <w:rFonts w:ascii="Arial" w:hAnsi="Arial" w:cs="Arial"/>
        </w:rPr>
        <w:t xml:space="preserve"> da população e (2) crescimento do </w:t>
      </w:r>
      <w:r>
        <w:rPr>
          <w:rFonts w:ascii="Arial" w:hAnsi="Arial" w:cs="Arial"/>
          <w:i/>
          <w:iCs/>
        </w:rPr>
        <w:t>log</w:t>
      </w:r>
      <w:r>
        <w:rPr>
          <w:rFonts w:ascii="Arial" w:hAnsi="Arial" w:cs="Arial"/>
        </w:rPr>
        <w:t xml:space="preserve"> da renda real </w:t>
      </w:r>
      <w:r>
        <w:rPr>
          <w:rFonts w:ascii="Arial" w:hAnsi="Arial" w:cs="Arial"/>
          <w:i/>
          <w:iCs/>
        </w:rPr>
        <w:t>per capita</w:t>
      </w:r>
      <w:r>
        <w:rPr>
          <w:rFonts w:ascii="Arial" w:hAnsi="Arial" w:cs="Arial"/>
        </w:rPr>
        <w:t xml:space="preserve">. O autor destaca que em estudos de crescimento econômico que avaliam países o PIB </w:t>
      </w:r>
      <w:r>
        <w:rPr>
          <w:rFonts w:ascii="Arial" w:hAnsi="Arial" w:cs="Arial"/>
          <w:i/>
          <w:iCs/>
        </w:rPr>
        <w:t>per capita</w:t>
      </w:r>
      <w:r>
        <w:rPr>
          <w:rFonts w:ascii="Arial" w:hAnsi="Arial" w:cs="Arial"/>
        </w:rPr>
        <w:t xml:space="preserve"> é uma medida padrão, entretanto, quando se analisa uma área metropolitana de um mesmo país, a alta mobilidade do trabalho faz com que uma medida de renda </w:t>
      </w:r>
      <w:r>
        <w:rPr>
          <w:rFonts w:ascii="Arial" w:hAnsi="Arial" w:cs="Arial"/>
          <w:i/>
          <w:iCs/>
        </w:rPr>
        <w:t>per capita</w:t>
      </w:r>
      <w:r>
        <w:rPr>
          <w:rFonts w:ascii="Arial" w:hAnsi="Arial" w:cs="Arial"/>
        </w:rPr>
        <w:t xml:space="preserve"> não seja tão apropriada, assim, num contexto de alta mobilidade, o crescimento da população é uma medida mais apropriada de crescimento econômico, pois reflete as áreas que estão se tornando mais atrativas para residentes e empresas, mesmo assim, as duas formas de medida são utilizadas no trabalho.</w:t>
      </w:r>
    </w:p>
    <w:p w14:paraId="06821E2B" w14:textId="77777777" w:rsidR="00BF02B6" w:rsidRDefault="00BF02B6" w:rsidP="00BF02B6">
      <w:pPr>
        <w:spacing w:line="360" w:lineRule="auto"/>
        <w:jc w:val="both"/>
        <w:rPr>
          <w:rFonts w:ascii="Arial" w:hAnsi="Arial" w:cs="Arial"/>
        </w:rPr>
      </w:pPr>
      <w:r>
        <w:rPr>
          <w:rFonts w:ascii="Arial" w:hAnsi="Arial" w:cs="Arial"/>
        </w:rPr>
        <w:tab/>
        <w:t>A metodologia utilizada foi a regressão por mínimos quadrados ordinários e as variáveis independentes são o número de governos de propósito geral, definido como governos de condado e sub-condado, o que proporciona uma medida do número de fornecedores de serviços públicos gerais disponíveis em uma dada área metropolitana e o número de sistemas de escolas públicas.</w:t>
      </w:r>
    </w:p>
    <w:p w14:paraId="78064ECB" w14:textId="302AE55B" w:rsidR="00BF02B6" w:rsidRDefault="00BF02B6" w:rsidP="00BF02B6">
      <w:pPr>
        <w:spacing w:line="360" w:lineRule="auto"/>
        <w:jc w:val="both"/>
        <w:rPr>
          <w:rFonts w:ascii="Arial" w:hAnsi="Arial" w:cs="Arial"/>
        </w:rPr>
      </w:pPr>
      <w:r>
        <w:rPr>
          <w:rFonts w:ascii="Arial" w:hAnsi="Arial" w:cs="Arial"/>
        </w:rPr>
        <w:tab/>
        <w:t>Após a análise dos dados, o trabalho produziu resultados que sustentam a teoria de que a descentralização aumenta o crescimento econômico. E além disto, a relação entre a estrutura do governo local e o crescimento econômico tem relevância direta com os debates atuais de debates sobre políticas.</w:t>
      </w:r>
    </w:p>
    <w:p w14:paraId="35F0A849" w14:textId="396D60AC" w:rsidR="00BF02B6" w:rsidRDefault="00BF02B6" w:rsidP="00BF02B6">
      <w:pPr>
        <w:spacing w:line="360" w:lineRule="auto"/>
        <w:jc w:val="both"/>
        <w:rPr>
          <w:rFonts w:ascii="Arial" w:hAnsi="Arial" w:cs="Arial"/>
        </w:rPr>
      </w:pPr>
      <w:r>
        <w:rPr>
          <w:rFonts w:ascii="Arial" w:hAnsi="Arial" w:cs="Arial"/>
        </w:rPr>
        <w:tab/>
      </w:r>
      <w:r w:rsidR="00BA5308">
        <w:rPr>
          <w:rFonts w:ascii="Arial" w:hAnsi="Arial" w:cs="Arial"/>
        </w:rPr>
        <w:t>A forma como se dá a descentralização fiscal, se por meio da descentralização de gastos ou de arrecadação de receitas também é fator que influencia as conclusões obtidas nos estudos já realizados.</w:t>
      </w:r>
    </w:p>
    <w:p w14:paraId="2DCB9948" w14:textId="0B730E41" w:rsidR="00BA5308" w:rsidRDefault="00BA5308" w:rsidP="00BA5308">
      <w:pPr>
        <w:spacing w:line="360" w:lineRule="auto"/>
        <w:jc w:val="both"/>
        <w:rPr>
          <w:rFonts w:ascii="Arial" w:hAnsi="Arial" w:cs="Arial"/>
        </w:rPr>
      </w:pPr>
      <w:r>
        <w:rPr>
          <w:rFonts w:ascii="Arial" w:hAnsi="Arial" w:cs="Arial"/>
        </w:rPr>
        <w:tab/>
        <w:t xml:space="preserve">Iimi (2005) utilizou </w:t>
      </w:r>
      <w:r w:rsidRPr="001958A1">
        <w:rPr>
          <w:rFonts w:ascii="Arial" w:hAnsi="Arial" w:cs="Arial"/>
        </w:rPr>
        <w:t>dados</w:t>
      </w:r>
      <w:r>
        <w:rPr>
          <w:rFonts w:ascii="Arial" w:hAnsi="Arial" w:cs="Arial"/>
        </w:rPr>
        <w:t xml:space="preserve"> de 51 países, para os quais os dados macroeconômicos relacionados à despesa de governos locais estavam disponíveis, no período de 1997 a 2001 e a aplicação da técnica de variáveis instrumentais. Encontrou evidência de que a descentralização fiscal tem um significante impacto positivo no crescimento do PIB </w:t>
      </w:r>
      <w:r>
        <w:rPr>
          <w:rFonts w:ascii="Arial" w:hAnsi="Arial" w:cs="Arial"/>
          <w:i/>
          <w:iCs/>
        </w:rPr>
        <w:t>per capita</w:t>
      </w:r>
      <w:r>
        <w:rPr>
          <w:rFonts w:ascii="Arial" w:hAnsi="Arial" w:cs="Arial"/>
        </w:rPr>
        <w:t xml:space="preserve">. O conjunto de </w:t>
      </w:r>
      <w:r>
        <w:rPr>
          <w:rFonts w:ascii="Arial" w:hAnsi="Arial" w:cs="Arial"/>
        </w:rPr>
        <w:lastRenderedPageBreak/>
        <w:t>países estudados incluiu 7 de baixa renda, 10 de renda média baixa, 12 de renda média alta e 22 de renda alta. Como apontado por Akai e Sakata (2002), um problema crítico na análise de dados de países diferentes é o tratamento das enormes diferenças institucionais e culturais entre eles. No entanto, no trabalho em questão, o autor procurou atenuar este problema incorporando grupos de renda e efeitos específicos regionais.</w:t>
      </w:r>
    </w:p>
    <w:p w14:paraId="76C423A3" w14:textId="57F68C2F" w:rsidR="00BA5308" w:rsidRDefault="00BA5308" w:rsidP="00BA5308">
      <w:pPr>
        <w:spacing w:line="360" w:lineRule="auto"/>
        <w:jc w:val="both"/>
        <w:rPr>
          <w:rFonts w:ascii="Arial" w:hAnsi="Arial" w:cs="Arial"/>
        </w:rPr>
      </w:pPr>
      <w:r>
        <w:rPr>
          <w:rFonts w:ascii="Arial" w:hAnsi="Arial" w:cs="Arial"/>
        </w:rPr>
        <w:tab/>
        <w:t xml:space="preserve">O autor conclui que, apesar de que a influência positiva da descentralização fiscal no crescimento econômico seja ainda discutível, há uma relação positiva significativa entre o crescimento da renda </w:t>
      </w:r>
      <w:r>
        <w:rPr>
          <w:rFonts w:ascii="Arial" w:hAnsi="Arial" w:cs="Arial"/>
          <w:i/>
          <w:iCs/>
        </w:rPr>
        <w:t>per capita</w:t>
      </w:r>
      <w:r>
        <w:rPr>
          <w:rFonts w:ascii="Arial" w:hAnsi="Arial" w:cs="Arial"/>
        </w:rPr>
        <w:t xml:space="preserve"> e a descentralização medida pela parcela de gastos do governo local em relação ao gasto total do governo.</w:t>
      </w:r>
    </w:p>
    <w:p w14:paraId="15AA5EAF" w14:textId="2B60E7B9" w:rsidR="00BA5308" w:rsidRDefault="00BA5308" w:rsidP="00BA5308">
      <w:pPr>
        <w:spacing w:line="360" w:lineRule="auto"/>
        <w:jc w:val="both"/>
        <w:rPr>
          <w:rFonts w:ascii="Arial" w:hAnsi="Arial" w:cs="Arial"/>
        </w:rPr>
      </w:pPr>
      <w:r>
        <w:rPr>
          <w:rFonts w:ascii="Arial" w:hAnsi="Arial" w:cs="Arial"/>
        </w:rPr>
        <w:tab/>
        <w:t xml:space="preserve">No mesmo sentido do trabalho de Iimi (2005), os autores </w:t>
      </w:r>
      <w:r w:rsidRPr="00292193">
        <w:rPr>
          <w:rFonts w:ascii="Arial" w:hAnsi="Arial" w:cs="Arial"/>
        </w:rPr>
        <w:t xml:space="preserve">Rodriguez-Pose e Krøijer (2009) elaboraram </w:t>
      </w:r>
      <w:r w:rsidRPr="006B5348">
        <w:rPr>
          <w:rFonts w:ascii="Arial" w:hAnsi="Arial" w:cs="Arial"/>
        </w:rPr>
        <w:t>um trabalho que avaliou 1</w:t>
      </w:r>
      <w:r>
        <w:rPr>
          <w:rFonts w:ascii="Arial" w:hAnsi="Arial" w:cs="Arial"/>
        </w:rPr>
        <w:t>6 países da Europa Central e Oriental no período de 1990 a 2004. Motivados pela pouca evidência empírica disponível para subsidiar a hipótese encontrada na literatura sobre a descentralização fiscal de que governos descentralizados têm uma capacidade maior de direcionar políticas para atender as preferências locais e inovar no provimento de serviços públicos, de forma que quanto maior esta capacidade, maior a eficiência e crescimento econômico.</w:t>
      </w:r>
    </w:p>
    <w:p w14:paraId="43FF2FBF" w14:textId="7E5B8228" w:rsidR="00BA5308" w:rsidRDefault="00BA5308" w:rsidP="00BA5308">
      <w:pPr>
        <w:spacing w:line="360" w:lineRule="auto"/>
        <w:jc w:val="both"/>
        <w:rPr>
          <w:rFonts w:ascii="Arial" w:hAnsi="Arial" w:cs="Arial"/>
        </w:rPr>
      </w:pPr>
      <w:r>
        <w:rPr>
          <w:rFonts w:ascii="Arial" w:hAnsi="Arial" w:cs="Arial"/>
        </w:rPr>
        <w:tab/>
        <w:t xml:space="preserve">Com o uso de uma análise de dados em painel com efeitos dinâmicos, encontraram evidências de que, ao contrário da visão majoritária, há uma significativa relação negativa entre os indicadores de descentralização utilizados no estudo para a análise do crescimento econômico. Entretanto, aprimorando </w:t>
      </w:r>
      <w:r w:rsidR="00AD3B3F">
        <w:rPr>
          <w:rFonts w:ascii="Arial" w:hAnsi="Arial" w:cs="Arial"/>
        </w:rPr>
        <w:t>a análise</w:t>
      </w:r>
      <w:r>
        <w:rPr>
          <w:rFonts w:ascii="Arial" w:hAnsi="Arial" w:cs="Arial"/>
        </w:rPr>
        <w:t xml:space="preserve"> com o uso de intervalos temporais diversos, puderam mostrar que os efeitos da descentralização em longo prazo variam a depender do tipo</w:t>
      </w:r>
      <w:r w:rsidR="00AD3B3F">
        <w:rPr>
          <w:rFonts w:ascii="Arial" w:hAnsi="Arial" w:cs="Arial"/>
        </w:rPr>
        <w:t xml:space="preserve"> que é implementado</w:t>
      </w:r>
      <w:r>
        <w:rPr>
          <w:rFonts w:ascii="Arial" w:hAnsi="Arial" w:cs="Arial"/>
        </w:rPr>
        <w:t xml:space="preserve"> Enquanto transferências e gastos com níveis subnacionais de governo são negativamente relacionados ao crescimento econômico, atribuir a arrecadação de impostos aos níveis locais apresenta uma significante relação positiva com a taxa de crescimento.</w:t>
      </w:r>
    </w:p>
    <w:p w14:paraId="2FD799DD" w14:textId="05CA13B8" w:rsidR="00BA5308" w:rsidRDefault="00BA5308" w:rsidP="00BA5308">
      <w:pPr>
        <w:spacing w:line="360" w:lineRule="auto"/>
        <w:jc w:val="both"/>
        <w:rPr>
          <w:rFonts w:ascii="Arial" w:hAnsi="Arial" w:cs="Arial"/>
        </w:rPr>
      </w:pPr>
      <w:r>
        <w:rPr>
          <w:rFonts w:ascii="Arial" w:hAnsi="Arial" w:cs="Arial"/>
        </w:rPr>
        <w:tab/>
        <w:t>Na conclusão do trabalho argumentam que apesar de a descentralização ser frequentemente associada a maiores níveis de políticas inovador</w:t>
      </w:r>
      <w:r w:rsidR="00AD3B3F">
        <w:rPr>
          <w:rFonts w:ascii="Arial" w:hAnsi="Arial" w:cs="Arial"/>
        </w:rPr>
        <w:t>a</w:t>
      </w:r>
      <w:r>
        <w:rPr>
          <w:rFonts w:ascii="Arial" w:hAnsi="Arial" w:cs="Arial"/>
        </w:rPr>
        <w:t xml:space="preserve">s, maior </w:t>
      </w:r>
      <w:r>
        <w:rPr>
          <w:rFonts w:ascii="Arial" w:hAnsi="Arial" w:cs="Arial"/>
        </w:rPr>
        <w:lastRenderedPageBreak/>
        <w:t>transparência e mais capacidade de os governos atenderem as necessidades locais</w:t>
      </w:r>
      <w:r w:rsidR="00AD3B3F">
        <w:rPr>
          <w:rFonts w:ascii="Arial" w:hAnsi="Arial" w:cs="Arial"/>
        </w:rPr>
        <w:t>,</w:t>
      </w:r>
      <w:r>
        <w:rPr>
          <w:rFonts w:ascii="Arial" w:hAnsi="Arial" w:cs="Arial"/>
        </w:rPr>
        <w:t xml:space="preserve"> é difícil conectar estes fatores a uma maior performance econômica. Especialmente em países com falta de instituições apropriadas, sistema legal e capital humano, a taxa de crescimento econômico não deve aumentar como resultado direto da descentralização fiscal, ocorrendo, de fato, o contrário.</w:t>
      </w:r>
    </w:p>
    <w:p w14:paraId="38E1C34E" w14:textId="34633663" w:rsidR="00693450" w:rsidRDefault="00693450" w:rsidP="00BA5308">
      <w:pPr>
        <w:spacing w:line="360" w:lineRule="auto"/>
        <w:jc w:val="both"/>
        <w:rPr>
          <w:rFonts w:ascii="Arial" w:hAnsi="Arial" w:cs="Arial"/>
        </w:rPr>
      </w:pPr>
      <w:r>
        <w:rPr>
          <w:rFonts w:ascii="Arial" w:hAnsi="Arial" w:cs="Arial"/>
        </w:rPr>
        <w:tab/>
        <w:t>Mais recentemente, surg</w:t>
      </w:r>
      <w:r w:rsidR="00AD3B3F">
        <w:rPr>
          <w:rFonts w:ascii="Arial" w:hAnsi="Arial" w:cs="Arial"/>
        </w:rPr>
        <w:t>iram</w:t>
      </w:r>
      <w:r>
        <w:rPr>
          <w:rFonts w:ascii="Arial" w:hAnsi="Arial" w:cs="Arial"/>
        </w:rPr>
        <w:t xml:space="preserve"> estudos no sentido de investigar como os ganhos de eficiência obtidos a partir da descentralização fiscal se relacionam com o nível de descentralização realizado por um governo. Gemmell et. al. (2013) analisam, por meio de um painel de dados, 23 países membros da Organização para Cooperação e Desenvolvimento Econômico – OCDE, no período de 1972 a 2005.</w:t>
      </w:r>
    </w:p>
    <w:p w14:paraId="4E4BC051" w14:textId="5D2A44D0" w:rsidR="00693450" w:rsidRDefault="00693450" w:rsidP="00693450">
      <w:pPr>
        <w:spacing w:line="360" w:lineRule="auto"/>
        <w:jc w:val="both"/>
        <w:rPr>
          <w:rFonts w:ascii="Arial" w:hAnsi="Arial" w:cs="Arial"/>
        </w:rPr>
      </w:pPr>
      <w:r>
        <w:rPr>
          <w:rFonts w:ascii="Arial" w:hAnsi="Arial" w:cs="Arial"/>
        </w:rPr>
        <w:tab/>
        <w:t>Além do argumento básico a favor da descentralização fiscal</w:t>
      </w:r>
      <w:r w:rsidR="00AD3B3F">
        <w:rPr>
          <w:rFonts w:ascii="Arial" w:hAnsi="Arial" w:cs="Arial"/>
        </w:rPr>
        <w:t>, de</w:t>
      </w:r>
      <w:r>
        <w:rPr>
          <w:rFonts w:ascii="Arial" w:hAnsi="Arial" w:cs="Arial"/>
        </w:rPr>
        <w:t xml:space="preserve"> que ela melhora a eficiência do setor público e promove desenvolvimento de longo prazo, os autores trazem</w:t>
      </w:r>
      <w:r w:rsidR="00AD3B3F">
        <w:rPr>
          <w:rFonts w:ascii="Arial" w:hAnsi="Arial" w:cs="Arial"/>
        </w:rPr>
        <w:t>, em favor dela</w:t>
      </w:r>
      <w:r>
        <w:rPr>
          <w:rFonts w:ascii="Arial" w:hAnsi="Arial" w:cs="Arial"/>
        </w:rPr>
        <w:t xml:space="preserve"> os argumentos que: (1) diversificar as atuações governamentais de acordo com as preferências locais resulta em melhores níveis de bem-estar social; (2) governos subnacionais estão sujeitos a um acompanhamento mais próximo pela população governada, modelos recentes de descentralização destacam que ela leva a um nível maior de </w:t>
      </w:r>
      <w:r>
        <w:rPr>
          <w:rFonts w:ascii="Arial" w:hAnsi="Arial" w:cs="Arial"/>
          <w:i/>
          <w:iCs/>
        </w:rPr>
        <w:t>accountability</w:t>
      </w:r>
      <w:r>
        <w:rPr>
          <w:rFonts w:ascii="Arial" w:hAnsi="Arial" w:cs="Arial"/>
        </w:rPr>
        <w:t xml:space="preserve"> pelos governos locais.</w:t>
      </w:r>
    </w:p>
    <w:p w14:paraId="4B1DCA9A" w14:textId="192D16BD" w:rsidR="00693450" w:rsidRDefault="00693450" w:rsidP="00693450">
      <w:pPr>
        <w:spacing w:line="360" w:lineRule="auto"/>
        <w:jc w:val="both"/>
        <w:rPr>
          <w:rFonts w:ascii="Arial" w:hAnsi="Arial" w:cs="Arial"/>
        </w:rPr>
      </w:pPr>
      <w:r>
        <w:rPr>
          <w:rFonts w:ascii="Arial" w:hAnsi="Arial" w:cs="Arial"/>
        </w:rPr>
        <w:tab/>
        <w:t>Também há argumentos contrários: (1) com base no mecanismo de Tiebout, um modelo de descentralização pode levar a segregação entre a população</w:t>
      </w:r>
      <w:r w:rsidR="00AD3B3F">
        <w:rPr>
          <w:rFonts w:ascii="Arial" w:hAnsi="Arial" w:cs="Arial"/>
        </w:rPr>
        <w:t xml:space="preserve"> a</w:t>
      </w:r>
      <w:r>
        <w:rPr>
          <w:rFonts w:ascii="Arial" w:hAnsi="Arial" w:cs="Arial"/>
        </w:rPr>
        <w:t xml:space="preserve"> jovem e a mais velha, de acordo com suas diferentes necessidades; (2) pode impactar negativamente a distribuição de recursos públicos, pois a mobilidade dos residentes e empresas pode restringir as tentativas de distribuir renda; (3) poss</w:t>
      </w:r>
      <w:r w:rsidR="00AD3B3F">
        <w:rPr>
          <w:rFonts w:ascii="Arial" w:hAnsi="Arial" w:cs="Arial"/>
        </w:rPr>
        <w:t>ibilidade de</w:t>
      </w:r>
      <w:r>
        <w:rPr>
          <w:rFonts w:ascii="Arial" w:hAnsi="Arial" w:cs="Arial"/>
        </w:rPr>
        <w:t xml:space="preserve"> dano à estabilidade macroeconômica via a coordenação de políticas econômicas e (4) falhas em explorar as economias de escala e de escopo.</w:t>
      </w:r>
    </w:p>
    <w:p w14:paraId="24AB3764" w14:textId="50F2545B" w:rsidR="00693450" w:rsidRDefault="00693450" w:rsidP="00693450">
      <w:pPr>
        <w:spacing w:line="360" w:lineRule="auto"/>
        <w:jc w:val="both"/>
        <w:rPr>
          <w:rFonts w:ascii="Arial" w:hAnsi="Arial" w:cs="Arial"/>
        </w:rPr>
      </w:pPr>
      <w:r>
        <w:rPr>
          <w:rFonts w:ascii="Arial" w:hAnsi="Arial" w:cs="Arial"/>
        </w:rPr>
        <w:tab/>
        <w:t xml:space="preserve">Os autores encontraram evidências de que o crescimento econômico nos países da OCDE foi negativamente influenciado pela descentralização de gastos, mas positivamente influenciado pela descentralização de receitas. E a conclusão de que, como os países da OCDE são, em geral, mais </w:t>
      </w:r>
      <w:r>
        <w:rPr>
          <w:rFonts w:ascii="Arial" w:hAnsi="Arial" w:cs="Arial"/>
        </w:rPr>
        <w:lastRenderedPageBreak/>
        <w:t>descentralizados em relação aos gastos do que em relação às receitas, há suporte empírico para a hipótese de que haveriam ganhos de eficiência ao se promover um equilíbrio entre a descentralização de gastos e de receitas.</w:t>
      </w:r>
    </w:p>
    <w:p w14:paraId="1878F83C" w14:textId="6B7E6FE2" w:rsidR="00515355" w:rsidRDefault="00693450" w:rsidP="00515355">
      <w:pPr>
        <w:spacing w:line="360" w:lineRule="auto"/>
        <w:jc w:val="both"/>
        <w:rPr>
          <w:rFonts w:ascii="Arial" w:hAnsi="Arial" w:cs="Arial"/>
        </w:rPr>
      </w:pPr>
      <w:r>
        <w:rPr>
          <w:rFonts w:ascii="Arial" w:hAnsi="Arial" w:cs="Arial"/>
        </w:rPr>
        <w:tab/>
        <w:t>Mais uma vez</w:t>
      </w:r>
      <w:r w:rsidR="000D7B3A">
        <w:rPr>
          <w:rFonts w:ascii="Arial" w:hAnsi="Arial" w:cs="Arial"/>
        </w:rPr>
        <w:t>,</w:t>
      </w:r>
      <w:r>
        <w:rPr>
          <w:rFonts w:ascii="Arial" w:hAnsi="Arial" w:cs="Arial"/>
        </w:rPr>
        <w:t xml:space="preserve"> a diferença entre os tipos de descentralização fiscal, se por meio de gastos ou de arrecadação de receita, se mostra importante nos resultados obtidos sobre sua relação com o crescimento econômico. Fortalecendo o argumento de que descentralizar gastos é diferente de descentralizar arrecadação</w:t>
      </w:r>
      <w:r w:rsidR="00515355">
        <w:rPr>
          <w:rFonts w:ascii="Arial" w:hAnsi="Arial" w:cs="Arial"/>
        </w:rPr>
        <w:t xml:space="preserve"> Yushko (2015) faz um trabalho com </w:t>
      </w:r>
      <w:r w:rsidR="00515355" w:rsidRPr="00A0767A">
        <w:rPr>
          <w:rFonts w:ascii="Arial" w:hAnsi="Arial" w:cs="Arial"/>
        </w:rPr>
        <w:t xml:space="preserve">uma análise empírica </w:t>
      </w:r>
      <w:r w:rsidR="00515355">
        <w:rPr>
          <w:rFonts w:ascii="Arial" w:hAnsi="Arial" w:cs="Arial"/>
        </w:rPr>
        <w:t>de 72 regiões russas no período de 2005 a 2012 e demonstra que um alto nível de descentralização de gastos nas regiões, não acompanhado por nível equivalente de descentralização de receitas</w:t>
      </w:r>
      <w:r w:rsidR="00993AE7">
        <w:rPr>
          <w:rFonts w:ascii="Arial" w:hAnsi="Arial" w:cs="Arial"/>
        </w:rPr>
        <w:t>,</w:t>
      </w:r>
      <w:r w:rsidR="00515355">
        <w:rPr>
          <w:rFonts w:ascii="Arial" w:hAnsi="Arial" w:cs="Arial"/>
        </w:rPr>
        <w:t xml:space="preserve"> está negativamente relacionado ao crescimento econômico regional. E em contraste, a dependência regional das transferências intergovernamentais está positivamente associada ao crescimento econômico.</w:t>
      </w:r>
    </w:p>
    <w:p w14:paraId="73D7DC27" w14:textId="0A86C19A" w:rsidR="00515355" w:rsidRDefault="00515355" w:rsidP="00515355">
      <w:pPr>
        <w:spacing w:line="360" w:lineRule="auto"/>
        <w:jc w:val="both"/>
        <w:rPr>
          <w:rFonts w:ascii="Arial" w:hAnsi="Arial" w:cs="Arial"/>
        </w:rPr>
      </w:pPr>
      <w:r>
        <w:rPr>
          <w:rFonts w:ascii="Arial" w:hAnsi="Arial" w:cs="Arial"/>
        </w:rPr>
        <w:tab/>
        <w:t>No caso russo, o autor destaca que o desenvolvimento do federalismo fiscal se parece com o movimento de um pêndulo. O sistema orçamentário altamente centralizado da União Soviética passa por um processo de descentralização espontâneo durante o período de transição até a meados dos anos 90, formação de regras fiscais e instituições no início dos anos 2000 e então uma gradual reconcentração começa em meados dos anos 2000. Além disso, o processo russo de descentralização no</w:t>
      </w:r>
      <w:r w:rsidR="0054788A">
        <w:rPr>
          <w:rFonts w:ascii="Arial" w:hAnsi="Arial" w:cs="Arial"/>
        </w:rPr>
        <w:t xml:space="preserve"> período</w:t>
      </w:r>
      <w:r>
        <w:rPr>
          <w:rFonts w:ascii="Arial" w:hAnsi="Arial" w:cs="Arial"/>
        </w:rPr>
        <w:t xml:space="preserve"> pós União Soviética foi acompanhado por um</w:t>
      </w:r>
      <w:r w:rsidR="00993AE7">
        <w:rPr>
          <w:rFonts w:ascii="Arial" w:hAnsi="Arial" w:cs="Arial"/>
        </w:rPr>
        <w:t xml:space="preserve">a </w:t>
      </w:r>
      <w:r>
        <w:rPr>
          <w:rFonts w:ascii="Arial" w:hAnsi="Arial" w:cs="Arial"/>
        </w:rPr>
        <w:t xml:space="preserve">descentralização política e quando se deu </w:t>
      </w:r>
      <w:r w:rsidR="00993AE7">
        <w:rPr>
          <w:rFonts w:ascii="Arial" w:hAnsi="Arial" w:cs="Arial"/>
        </w:rPr>
        <w:t>a</w:t>
      </w:r>
      <w:r>
        <w:rPr>
          <w:rFonts w:ascii="Arial" w:hAnsi="Arial" w:cs="Arial"/>
        </w:rPr>
        <w:t xml:space="preserve"> reconcentração do sistema de orçamento</w:t>
      </w:r>
      <w:r w:rsidR="00993AE7">
        <w:rPr>
          <w:rFonts w:ascii="Arial" w:hAnsi="Arial" w:cs="Arial"/>
        </w:rPr>
        <w:t>,</w:t>
      </w:r>
      <w:r>
        <w:rPr>
          <w:rFonts w:ascii="Arial" w:hAnsi="Arial" w:cs="Arial"/>
        </w:rPr>
        <w:t xml:space="preserve"> este foi acompanhado por uma centralização política, assim, argumenta o autor, o modelo chinês proposto para a Rússia não foi implementado na realidade.</w:t>
      </w:r>
    </w:p>
    <w:p w14:paraId="3B25B383" w14:textId="77777777" w:rsidR="00515355" w:rsidRDefault="00515355" w:rsidP="00515355">
      <w:pPr>
        <w:spacing w:line="360" w:lineRule="auto"/>
        <w:jc w:val="both"/>
        <w:rPr>
          <w:rFonts w:ascii="Arial" w:hAnsi="Arial" w:cs="Arial"/>
        </w:rPr>
      </w:pPr>
      <w:r>
        <w:rPr>
          <w:rFonts w:ascii="Arial" w:hAnsi="Arial" w:cs="Arial"/>
        </w:rPr>
        <w:tab/>
        <w:t xml:space="preserve">Na análise empírica o autor destaca quatro canais de relacionamento entre a descentralização fiscal e o crescimento econômico: (1) heterogeneidade das preferências, gerações mais novas podem investir parte de seu tempo em educação para aumentar seu rendimento futuro e pode economizar para investir em capital físico, enquanto indivíduos mais velhos tendem a dedicar todo seu tempo ao trabalho; (2) preservação de mercados, significa que a </w:t>
      </w:r>
      <w:r>
        <w:rPr>
          <w:rFonts w:ascii="Arial" w:hAnsi="Arial" w:cs="Arial"/>
        </w:rPr>
        <w:lastRenderedPageBreak/>
        <w:t>descentralização fiscal aumenta a competição fiscal horizontal, o que restringe os incentivos negativos às autoridades subnacionais e melhora as condições de desenvolvimento de mercado aumentando o crescimento econômico; (3) mudanças estruturais que se relacionam aos potenciais efeitos positivos da descentralização durante crises estruturais e (4) inovação política, significa que a descentralização fiscal permite o uso de regiões como laboratórios para experimentos econômicos.</w:t>
      </w:r>
    </w:p>
    <w:p w14:paraId="34228BF0" w14:textId="12E8483E" w:rsidR="00BA5308" w:rsidRDefault="00515355" w:rsidP="00515355">
      <w:pPr>
        <w:spacing w:line="360" w:lineRule="auto"/>
        <w:jc w:val="both"/>
        <w:rPr>
          <w:rFonts w:ascii="Arial" w:hAnsi="Arial" w:cs="Arial"/>
        </w:rPr>
      </w:pPr>
      <w:r>
        <w:rPr>
          <w:rFonts w:ascii="Arial" w:hAnsi="Arial" w:cs="Arial"/>
        </w:rPr>
        <w:tab/>
        <w:t>Após a análise dos dados, o autor conclui que o estágio de descentralização intra</w:t>
      </w:r>
      <w:r w:rsidR="00BF0D81">
        <w:rPr>
          <w:rFonts w:ascii="Arial" w:hAnsi="Arial" w:cs="Arial"/>
        </w:rPr>
        <w:t>r</w:t>
      </w:r>
      <w:r>
        <w:rPr>
          <w:rFonts w:ascii="Arial" w:hAnsi="Arial" w:cs="Arial"/>
        </w:rPr>
        <w:t>regional e o sistema de relações intergovernamentais não permite que as vantagens da descentralização fiscal e do federalismo fiscal sejam totalmente alcançadas na Rússia, o que retarda o crescimento econômico e impede o desenvolvimento das regiões e dos municípios.</w:t>
      </w:r>
    </w:p>
    <w:p w14:paraId="5E7B65BE" w14:textId="067ACEB4" w:rsidR="00515355" w:rsidRDefault="00515355" w:rsidP="00515355">
      <w:pPr>
        <w:spacing w:line="360" w:lineRule="auto"/>
        <w:jc w:val="both"/>
        <w:rPr>
          <w:rFonts w:ascii="Arial" w:hAnsi="Arial" w:cs="Arial"/>
        </w:rPr>
      </w:pPr>
      <w:r>
        <w:rPr>
          <w:rFonts w:ascii="Arial" w:hAnsi="Arial" w:cs="Arial"/>
        </w:rPr>
        <w:tab/>
        <w:t>É fato que os resultados obtidos variam entre países</w:t>
      </w:r>
      <w:r w:rsidR="00993AE7">
        <w:rPr>
          <w:rFonts w:ascii="Arial" w:hAnsi="Arial" w:cs="Arial"/>
        </w:rPr>
        <w:t xml:space="preserve"> objeto de análise</w:t>
      </w:r>
      <w:r>
        <w:rPr>
          <w:rFonts w:ascii="Arial" w:hAnsi="Arial" w:cs="Arial"/>
        </w:rPr>
        <w:t xml:space="preserve">, já comprovado por estudos que abordaram diferentes regiões com resultados </w:t>
      </w:r>
      <w:r w:rsidR="00993AE7">
        <w:rPr>
          <w:rFonts w:ascii="Arial" w:hAnsi="Arial" w:cs="Arial"/>
        </w:rPr>
        <w:t xml:space="preserve">diversos </w:t>
      </w:r>
      <w:r>
        <w:rPr>
          <w:rFonts w:ascii="Arial" w:hAnsi="Arial" w:cs="Arial"/>
        </w:rPr>
        <w:t>no que diz respeito à relação da descentralização fiscal com o desenvolvimento econômico de uma região de interesse.</w:t>
      </w:r>
    </w:p>
    <w:p w14:paraId="0F5250E3" w14:textId="4DAFDB2F" w:rsidR="00515355" w:rsidRDefault="00515355" w:rsidP="00515355">
      <w:pPr>
        <w:spacing w:line="360" w:lineRule="auto"/>
        <w:jc w:val="both"/>
        <w:rPr>
          <w:rFonts w:ascii="Arial" w:hAnsi="Arial" w:cs="Arial"/>
        </w:rPr>
      </w:pPr>
      <w:r>
        <w:rPr>
          <w:rFonts w:ascii="Arial" w:hAnsi="Arial" w:cs="Arial"/>
        </w:rPr>
        <w:tab/>
        <w:t xml:space="preserve">Lozano e Julio (2016) fizeram um trabalho com dados de regiões da Colômbia e mostraram </w:t>
      </w:r>
      <w:r w:rsidRPr="0011726B">
        <w:rPr>
          <w:rFonts w:ascii="Arial" w:hAnsi="Arial" w:cs="Arial"/>
        </w:rPr>
        <w:t>evidências de efeitos positivos decorren</w:t>
      </w:r>
      <w:r>
        <w:rPr>
          <w:rFonts w:ascii="Arial" w:hAnsi="Arial" w:cs="Arial"/>
        </w:rPr>
        <w:t>tes da descentralização fiscal no crescimento econômico regional desde a Constituição</w:t>
      </w:r>
      <w:r w:rsidR="00993AE7">
        <w:rPr>
          <w:rFonts w:ascii="Arial" w:hAnsi="Arial" w:cs="Arial"/>
        </w:rPr>
        <w:t xml:space="preserve"> colombiana</w:t>
      </w:r>
      <w:r>
        <w:rPr>
          <w:rFonts w:ascii="Arial" w:hAnsi="Arial" w:cs="Arial"/>
        </w:rPr>
        <w:t xml:space="preserve"> de 1991. Adotaram uma estratégia de análise de resultados de modelos </w:t>
      </w:r>
      <w:r>
        <w:rPr>
          <w:rFonts w:ascii="Arial" w:hAnsi="Arial" w:cs="Arial"/>
          <w:i/>
          <w:iCs/>
        </w:rPr>
        <w:t>cross-section</w:t>
      </w:r>
      <w:r>
        <w:rPr>
          <w:rFonts w:ascii="Arial" w:hAnsi="Arial" w:cs="Arial"/>
        </w:rPr>
        <w:t xml:space="preserve"> para diferentes períodos e variáveis de controle, teste de hipótese sobre a complementariedade entre bens públicos providos por diferentes níveis de governo e avaliação da convergência incondicional nas diferenças de renda regionais.</w:t>
      </w:r>
    </w:p>
    <w:p w14:paraId="63F5E0E4" w14:textId="1E14E8E8" w:rsidR="00515355" w:rsidRDefault="00515355" w:rsidP="00D94D11">
      <w:pPr>
        <w:spacing w:line="360" w:lineRule="auto"/>
        <w:ind w:firstLine="708"/>
        <w:jc w:val="both"/>
        <w:rPr>
          <w:rFonts w:ascii="Arial" w:hAnsi="Arial" w:cs="Arial"/>
        </w:rPr>
      </w:pPr>
      <w:r>
        <w:rPr>
          <w:rFonts w:ascii="Arial" w:hAnsi="Arial" w:cs="Arial"/>
        </w:rPr>
        <w:t>A partir da análise de dados de 24 regiões da Colômbia no período de 1990 a 2012 e com indicadores de gastos, receitas e autonomia de gastos, entre outros, confirmaram uma relação positiva entre a descentralização fiscal e o crescimento econômico das regiões estudadas, o que implica que a transferência de funções fiscais a governos subnacionais, no caso estudado, levou ao crescimento econômico.</w:t>
      </w:r>
    </w:p>
    <w:p w14:paraId="4AD82A37" w14:textId="515322F3" w:rsidR="00515355" w:rsidRDefault="00515355" w:rsidP="00D94D11">
      <w:pPr>
        <w:spacing w:line="360" w:lineRule="auto"/>
        <w:ind w:firstLine="708"/>
        <w:jc w:val="both"/>
        <w:rPr>
          <w:rFonts w:ascii="Arial" w:hAnsi="Arial" w:cs="Arial"/>
        </w:rPr>
      </w:pPr>
      <w:r>
        <w:rPr>
          <w:rFonts w:ascii="Arial" w:hAnsi="Arial" w:cs="Arial"/>
        </w:rPr>
        <w:lastRenderedPageBreak/>
        <w:t xml:space="preserve">Além da conclusão a respeito do crescimento econômico, no trabalho em questão também analisaram se a disparidade na renda </w:t>
      </w:r>
      <w:r>
        <w:rPr>
          <w:rFonts w:ascii="Arial" w:hAnsi="Arial" w:cs="Arial"/>
          <w:i/>
          <w:iCs/>
        </w:rPr>
        <w:t>per capita</w:t>
      </w:r>
      <w:r>
        <w:rPr>
          <w:rFonts w:ascii="Arial" w:hAnsi="Arial" w:cs="Arial"/>
        </w:rPr>
        <w:t xml:space="preserve"> entre os mais ricos e os mais pobres diminuiu. Encontraram evidências de que a diferença está se reduzindo numa taxa anual de 1,61%, resultado </w:t>
      </w:r>
      <w:r w:rsidR="00993AE7">
        <w:rPr>
          <w:rFonts w:ascii="Arial" w:hAnsi="Arial" w:cs="Arial"/>
        </w:rPr>
        <w:t xml:space="preserve">que </w:t>
      </w:r>
      <w:r>
        <w:rPr>
          <w:rFonts w:ascii="Arial" w:hAnsi="Arial" w:cs="Arial"/>
        </w:rPr>
        <w:t>destaca a contribuição positiva das atividades do governo segundo os autores.</w:t>
      </w:r>
    </w:p>
    <w:p w14:paraId="24F1F257" w14:textId="77777777" w:rsidR="0076513A" w:rsidRDefault="00515355" w:rsidP="00515355">
      <w:pPr>
        <w:spacing w:line="360" w:lineRule="auto"/>
        <w:jc w:val="both"/>
        <w:rPr>
          <w:rFonts w:ascii="Arial" w:hAnsi="Arial" w:cs="Arial"/>
        </w:rPr>
      </w:pPr>
      <w:r>
        <w:rPr>
          <w:rFonts w:ascii="Arial" w:hAnsi="Arial" w:cs="Arial"/>
        </w:rPr>
        <w:tab/>
        <w:t>Mais recentemente, os trabalhos realizados têm tido êxito em demonstrar uma relação positiva entre a descentralização fiscal e o desenvolvimento econômico.</w:t>
      </w:r>
      <w:r w:rsidR="0076513A">
        <w:rPr>
          <w:rFonts w:ascii="Arial" w:hAnsi="Arial" w:cs="Arial"/>
        </w:rPr>
        <w:t xml:space="preserve"> Entretanto, a intensidade dessa influência positiva é bastante relacionada ao</w:t>
      </w:r>
      <w:r>
        <w:rPr>
          <w:rFonts w:ascii="Arial" w:hAnsi="Arial" w:cs="Arial"/>
        </w:rPr>
        <w:t xml:space="preserve"> nível de desenvolvimento da economia local</w:t>
      </w:r>
      <w:r w:rsidR="0076513A">
        <w:rPr>
          <w:rFonts w:ascii="Arial" w:hAnsi="Arial" w:cs="Arial"/>
        </w:rPr>
        <w:t>.</w:t>
      </w:r>
    </w:p>
    <w:p w14:paraId="1F927553" w14:textId="46F4F337" w:rsidR="00515355" w:rsidRDefault="0076513A" w:rsidP="0076513A">
      <w:pPr>
        <w:spacing w:line="360" w:lineRule="auto"/>
        <w:jc w:val="both"/>
        <w:rPr>
          <w:rFonts w:ascii="Arial" w:hAnsi="Arial" w:cs="Arial"/>
        </w:rPr>
      </w:pPr>
      <w:r>
        <w:rPr>
          <w:rFonts w:ascii="Arial" w:hAnsi="Arial" w:cs="Arial"/>
        </w:rPr>
        <w:tab/>
        <w:t>S</w:t>
      </w:r>
      <w:r w:rsidR="00515355">
        <w:rPr>
          <w:rFonts w:ascii="Arial" w:hAnsi="Arial" w:cs="Arial"/>
        </w:rPr>
        <w:t>lavinskaite (2016) realizou um estudo com os países da União Europeia para o período de 2005 a 2014.</w:t>
      </w:r>
      <w:r w:rsidR="00515355" w:rsidRPr="00515355">
        <w:rPr>
          <w:rFonts w:ascii="Arial" w:hAnsi="Arial" w:cs="Arial"/>
        </w:rPr>
        <w:t xml:space="preserve"> </w:t>
      </w:r>
      <w:r w:rsidR="00515355">
        <w:rPr>
          <w:rFonts w:ascii="Arial" w:hAnsi="Arial" w:cs="Arial"/>
        </w:rPr>
        <w:t xml:space="preserve">A análise foi realizada com base no método de regressões múltiplas e um modelo de painel de dados de efeitos fixos foi a estrutura da análise. </w:t>
      </w:r>
      <w:r w:rsidR="00515355" w:rsidRPr="00BE7ECE">
        <w:rPr>
          <w:rFonts w:ascii="Arial" w:hAnsi="Arial" w:cs="Arial"/>
        </w:rPr>
        <w:t xml:space="preserve">Para examinar os efeitos da descentralização fiscal </w:t>
      </w:r>
      <w:r w:rsidR="00993AE7">
        <w:rPr>
          <w:rFonts w:ascii="Arial" w:hAnsi="Arial" w:cs="Arial"/>
        </w:rPr>
        <w:t>o estudo foi feito</w:t>
      </w:r>
      <w:r w:rsidR="00515355" w:rsidRPr="00BE7ECE">
        <w:rPr>
          <w:rFonts w:ascii="Arial" w:hAnsi="Arial" w:cs="Arial"/>
        </w:rPr>
        <w:t xml:space="preserve"> para</w:t>
      </w:r>
      <w:r w:rsidR="00515355">
        <w:rPr>
          <w:rFonts w:ascii="Arial" w:hAnsi="Arial" w:cs="Arial"/>
        </w:rPr>
        <w:t xml:space="preserve"> dois</w:t>
      </w:r>
      <w:r w:rsidR="00515355" w:rsidRPr="00BE7ECE">
        <w:rPr>
          <w:rFonts w:ascii="Arial" w:hAnsi="Arial" w:cs="Arial"/>
        </w:rPr>
        <w:t xml:space="preserve"> </w:t>
      </w:r>
      <w:r w:rsidR="00515355">
        <w:rPr>
          <w:rFonts w:ascii="Arial" w:hAnsi="Arial" w:cs="Arial"/>
        </w:rPr>
        <w:t>subgrupos de países, classificados de acordo com o nível de desenvolvimento de suas economias. Es</w:t>
      </w:r>
      <w:r w:rsidR="00993AE7">
        <w:rPr>
          <w:rFonts w:ascii="Arial" w:hAnsi="Arial" w:cs="Arial"/>
        </w:rPr>
        <w:t>s</w:t>
      </w:r>
      <w:r w:rsidR="00515355">
        <w:rPr>
          <w:rFonts w:ascii="Arial" w:hAnsi="Arial" w:cs="Arial"/>
        </w:rPr>
        <w:t>a análise revelou que há relação positiva entre descentralização econômica e crescimento econômico para os países com baixo nível de desenvolvimento e nenhuma relação para aqueles com altos níveis de desenvolvimento econômico.</w:t>
      </w:r>
    </w:p>
    <w:p w14:paraId="50ABC4B2" w14:textId="6DBD12AD" w:rsidR="00515355" w:rsidRDefault="00515355" w:rsidP="00515355">
      <w:pPr>
        <w:spacing w:line="360" w:lineRule="auto"/>
        <w:jc w:val="both"/>
        <w:rPr>
          <w:rFonts w:ascii="Arial" w:hAnsi="Arial" w:cs="Arial"/>
        </w:rPr>
      </w:pPr>
      <w:r>
        <w:rPr>
          <w:rFonts w:ascii="Arial" w:hAnsi="Arial" w:cs="Arial"/>
        </w:rPr>
        <w:tab/>
      </w:r>
      <w:r w:rsidRPr="00327CF1">
        <w:rPr>
          <w:rFonts w:ascii="Arial" w:hAnsi="Arial" w:cs="Arial"/>
        </w:rPr>
        <w:t xml:space="preserve">Com a análise dos dados, </w:t>
      </w:r>
      <w:r>
        <w:rPr>
          <w:rFonts w:ascii="Arial" w:hAnsi="Arial" w:cs="Arial"/>
        </w:rPr>
        <w:t>além da conclusão já citada os autores também verificaram que: o nível de descentralização fiscal varia consideravelmente entre os países da União Europeia, o nível de descentralização em países com alto</w:t>
      </w:r>
      <w:r w:rsidR="00993AE7">
        <w:rPr>
          <w:rFonts w:ascii="Arial" w:hAnsi="Arial" w:cs="Arial"/>
        </w:rPr>
        <w:t xml:space="preserve"> </w:t>
      </w:r>
      <w:r>
        <w:rPr>
          <w:rFonts w:ascii="Arial" w:hAnsi="Arial" w:cs="Arial"/>
        </w:rPr>
        <w:t>desenvolvimento econômico</w:t>
      </w:r>
      <w:r w:rsidR="00993AE7">
        <w:rPr>
          <w:rFonts w:ascii="Arial" w:hAnsi="Arial" w:cs="Arial"/>
        </w:rPr>
        <w:t xml:space="preserve"> é</w:t>
      </w:r>
      <w:r>
        <w:rPr>
          <w:rFonts w:ascii="Arial" w:hAnsi="Arial" w:cs="Arial"/>
        </w:rPr>
        <w:t xml:space="preserve"> maior que aqueles com baixo nível de desenvolvimento. Esse resultado mostra que governos locais em países com economias desenvolvidas têm maior controle sobre receitas próprias e gastos.</w:t>
      </w:r>
    </w:p>
    <w:p w14:paraId="3015BED4" w14:textId="1B3446C2" w:rsidR="00515355" w:rsidRDefault="00515355" w:rsidP="00515355">
      <w:pPr>
        <w:spacing w:line="360" w:lineRule="auto"/>
        <w:jc w:val="both"/>
        <w:rPr>
          <w:rFonts w:ascii="Arial" w:hAnsi="Arial" w:cs="Arial"/>
        </w:rPr>
      </w:pPr>
      <w:r>
        <w:rPr>
          <w:rFonts w:ascii="Arial" w:hAnsi="Arial" w:cs="Arial"/>
        </w:rPr>
        <w:tab/>
        <w:t>No artigo foi identificada uma clara relação causal entre descentralização fiscal e crescimento.</w:t>
      </w:r>
    </w:p>
    <w:p w14:paraId="3F8B3394" w14:textId="2CD9672F" w:rsidR="0076513A" w:rsidRDefault="0076513A" w:rsidP="00515355">
      <w:pPr>
        <w:spacing w:line="360" w:lineRule="auto"/>
        <w:jc w:val="both"/>
        <w:rPr>
          <w:rFonts w:ascii="Arial" w:hAnsi="Arial" w:cs="Arial"/>
        </w:rPr>
      </w:pPr>
      <w:r>
        <w:rPr>
          <w:rFonts w:ascii="Arial" w:hAnsi="Arial" w:cs="Arial"/>
        </w:rPr>
        <w:tab/>
        <w:t>Por fim, no que diz respeito aos estudos já realizado e utilizados como fonte de conhecimentos para este trabalho, o artigo de Ganaie et. al. (2018) traz importantes considerações sobre a estrutura das instituições e organização do governo em relação aos efeitos da descentralização fiscal no crescimento econômico.</w:t>
      </w:r>
    </w:p>
    <w:p w14:paraId="2BC0A508" w14:textId="77777777" w:rsidR="0076513A" w:rsidRDefault="0076513A" w:rsidP="0076513A">
      <w:pPr>
        <w:spacing w:line="360" w:lineRule="auto"/>
        <w:jc w:val="both"/>
        <w:rPr>
          <w:rFonts w:ascii="Arial" w:hAnsi="Arial" w:cs="Arial"/>
        </w:rPr>
      </w:pPr>
      <w:r>
        <w:rPr>
          <w:rFonts w:ascii="Arial" w:hAnsi="Arial" w:cs="Arial"/>
        </w:rPr>
        <w:lastRenderedPageBreak/>
        <w:tab/>
        <w:t xml:space="preserve">Os autores examinam </w:t>
      </w:r>
      <w:r w:rsidRPr="00AD4AA4">
        <w:rPr>
          <w:rFonts w:ascii="Arial" w:hAnsi="Arial" w:cs="Arial"/>
        </w:rPr>
        <w:t>a relação entre a descentralizaç</w:t>
      </w:r>
      <w:r>
        <w:rPr>
          <w:rFonts w:ascii="Arial" w:hAnsi="Arial" w:cs="Arial"/>
        </w:rPr>
        <w:t>ão fiscal e o crescimento econômico no caso indiano. Fazem o uso de uma análise de dados em painel das informações de 14 estados no período de 1981 a 2014.</w:t>
      </w:r>
    </w:p>
    <w:p w14:paraId="1887F9A0" w14:textId="68C59171" w:rsidR="0076513A" w:rsidRDefault="0076513A" w:rsidP="0076513A">
      <w:pPr>
        <w:spacing w:line="360" w:lineRule="auto"/>
        <w:jc w:val="both"/>
        <w:rPr>
          <w:rFonts w:ascii="Arial" w:hAnsi="Arial" w:cs="Arial"/>
        </w:rPr>
      </w:pPr>
      <w:r>
        <w:rPr>
          <w:rFonts w:ascii="Arial" w:hAnsi="Arial" w:cs="Arial"/>
        </w:rPr>
        <w:tab/>
        <w:t xml:space="preserve">Para o trabalho os autores utilizaram informações de PIB estadual e seis indicadores de descentralização fiscal construídos com base em receitas e despesas. Também utilizaram informações sobre indústrias de capital como </w:t>
      </w:r>
      <w:r>
        <w:rPr>
          <w:rFonts w:ascii="Arial" w:hAnsi="Arial" w:cs="Arial"/>
          <w:i/>
          <w:iCs/>
        </w:rPr>
        <w:t>proxy</w:t>
      </w:r>
      <w:r>
        <w:rPr>
          <w:rFonts w:ascii="Arial" w:hAnsi="Arial" w:cs="Arial"/>
        </w:rPr>
        <w:t xml:space="preserve"> para o estoque de capital dos </w:t>
      </w:r>
      <w:r w:rsidR="00C27E0F">
        <w:rPr>
          <w:rFonts w:ascii="Arial" w:hAnsi="Arial" w:cs="Arial"/>
        </w:rPr>
        <w:t>e</w:t>
      </w:r>
      <w:r>
        <w:rPr>
          <w:rFonts w:ascii="Arial" w:hAnsi="Arial" w:cs="Arial"/>
        </w:rPr>
        <w:t>stados e população.</w:t>
      </w:r>
    </w:p>
    <w:p w14:paraId="3380412C" w14:textId="77777777" w:rsidR="0076513A" w:rsidRDefault="0076513A" w:rsidP="0076513A">
      <w:pPr>
        <w:spacing w:line="360" w:lineRule="auto"/>
        <w:jc w:val="both"/>
        <w:rPr>
          <w:rFonts w:ascii="Arial" w:hAnsi="Arial" w:cs="Arial"/>
        </w:rPr>
      </w:pPr>
      <w:r>
        <w:rPr>
          <w:rFonts w:ascii="Arial" w:hAnsi="Arial" w:cs="Arial"/>
        </w:rPr>
        <w:tab/>
        <w:t>Aplicando a metodologia proposta, os primeiros achados foram no sentido de que o crescimento econômico estadual está positivamente associado com a descentralização de gastos e negativamente associado com a descentralização de renda, ou seja, aumento na descentralização de gastos e na centralização das receitas promove o crescimento econômico. Esta relação negativa entre descentralização de receita e crescimento econômico contradiz a teoria convencional sobre descentralização fiscal.</w:t>
      </w:r>
    </w:p>
    <w:p w14:paraId="4BCAE3C1" w14:textId="672A2F01" w:rsidR="00F0521A" w:rsidRDefault="0076513A" w:rsidP="00F4484A">
      <w:pPr>
        <w:spacing w:line="360" w:lineRule="auto"/>
        <w:jc w:val="both"/>
        <w:rPr>
          <w:rFonts w:ascii="Arial" w:hAnsi="Arial" w:cs="Arial"/>
        </w:rPr>
      </w:pPr>
      <w:r>
        <w:rPr>
          <w:rFonts w:ascii="Arial" w:hAnsi="Arial" w:cs="Arial"/>
        </w:rPr>
        <w:tab/>
        <w:t xml:space="preserve">Com base nos resultados obtidos os autores dizem que, no caso indiano em análise, o governo nacional é eficiente em coletar receitas e os governos subnacionais são eficientes em gastá-las. Alertam, entretanto, que há um mecanismo complexo que deriva da relação entre descentralização de receitas e despesas com o crescimento econômico que depende muito de como os governos subnacionais usam </w:t>
      </w:r>
      <w:r w:rsidR="00C27E0F">
        <w:rPr>
          <w:rFonts w:ascii="Arial" w:hAnsi="Arial" w:cs="Arial"/>
        </w:rPr>
        <w:t>s</w:t>
      </w:r>
      <w:r>
        <w:rPr>
          <w:rFonts w:ascii="Arial" w:hAnsi="Arial" w:cs="Arial"/>
        </w:rPr>
        <w:t>ua autonomia de gasto e obtenção de receitas. Assim, de forma geral, embora um alto gasto público tem desenvolvido a base de infraestrutura dos estados levando ao crescimento, a presença de uma fraca estrutura de instituições nos governos subnacionais falhou em incentivar formas de aumentar a arrecadação, o que criou desincentivos para o setor privado.</w:t>
      </w:r>
    </w:p>
    <w:p w14:paraId="585A1E5E" w14:textId="77777777" w:rsidR="00523A0F" w:rsidRPr="004E0034" w:rsidRDefault="00523A0F" w:rsidP="00F4484A">
      <w:pPr>
        <w:spacing w:line="360" w:lineRule="auto"/>
        <w:jc w:val="both"/>
        <w:rPr>
          <w:rFonts w:ascii="Arial" w:hAnsi="Arial" w:cs="Arial"/>
        </w:rPr>
      </w:pPr>
    </w:p>
    <w:p w14:paraId="304B8A19" w14:textId="07742E42" w:rsidR="00BA02AF" w:rsidRDefault="00BA02AF" w:rsidP="00802836">
      <w:pPr>
        <w:pStyle w:val="Ttulo"/>
      </w:pPr>
      <w:bookmarkStart w:id="11" w:name="_Toc16492063"/>
      <w:r>
        <w:lastRenderedPageBreak/>
        <w:t xml:space="preserve">3. </w:t>
      </w:r>
      <w:r w:rsidR="005B2786">
        <w:t xml:space="preserve">Descrição dos </w:t>
      </w:r>
      <w:r>
        <w:t>Dados</w:t>
      </w:r>
      <w:bookmarkEnd w:id="11"/>
    </w:p>
    <w:p w14:paraId="0052AFC8" w14:textId="7F2E4353" w:rsidR="00BA02AF" w:rsidRDefault="00BA02AF" w:rsidP="00BA02AF"/>
    <w:p w14:paraId="4E8EB6F2" w14:textId="77777777" w:rsidR="0088266D" w:rsidRDefault="0088266D" w:rsidP="0088266D">
      <w:pPr>
        <w:spacing w:line="360" w:lineRule="auto"/>
        <w:ind w:firstLine="708"/>
        <w:jc w:val="both"/>
        <w:rPr>
          <w:rFonts w:ascii="Arial" w:hAnsi="Arial" w:cs="Arial"/>
        </w:rPr>
      </w:pPr>
      <w:r>
        <w:rPr>
          <w:rFonts w:ascii="Arial" w:hAnsi="Arial" w:cs="Arial"/>
        </w:rPr>
        <w:t>Descentralização fiscal, que é em essência um fenômeno político, está relacionado às decisões que afetam o bem-estar social e a alocação de recursos nos vários níveis de governo de um país. Todavia, para uma avaliação empírica da descentralização fiscal e do crescimento econômico, é necessário estabelecer formas de quantificar a descentralização e seus efeitos. Além disso, é preciso levar em consideração que além dos aspectos financeiros e tributários envolvidos, a autoridade na tomada de decisão quanto à aplicação dos recursos econômicos é um fator primordial para a obtenção do efeito desejado. Entretanto, a alocação de autoridade é um aspecto difícil de ser medido quantitativamente.</w:t>
      </w:r>
    </w:p>
    <w:p w14:paraId="2CD9C5C9" w14:textId="697CE1B5" w:rsidR="00BA02AF" w:rsidRDefault="00BA02AF" w:rsidP="0088266D">
      <w:pPr>
        <w:spacing w:line="360" w:lineRule="auto"/>
        <w:ind w:firstLine="708"/>
        <w:jc w:val="both"/>
        <w:rPr>
          <w:rFonts w:ascii="Arial" w:hAnsi="Arial" w:cs="Arial"/>
        </w:rPr>
      </w:pPr>
      <w:r>
        <w:rPr>
          <w:rFonts w:ascii="Arial" w:hAnsi="Arial" w:cs="Arial"/>
        </w:rPr>
        <w:t xml:space="preserve">A </w:t>
      </w:r>
      <w:r w:rsidR="0088266D">
        <w:rPr>
          <w:rFonts w:ascii="Arial" w:hAnsi="Arial" w:cs="Arial"/>
        </w:rPr>
        <w:t>amostra</w:t>
      </w:r>
      <w:r>
        <w:rPr>
          <w:rFonts w:ascii="Arial" w:hAnsi="Arial" w:cs="Arial"/>
        </w:rPr>
        <w:t xml:space="preserve"> estudada neste trabalho será composta pelos 26 estados brasileiros e o Distrito Federal. Eles serão agrupados conforme a </w:t>
      </w:r>
      <w:r w:rsidR="000C1019">
        <w:rPr>
          <w:rFonts w:ascii="Arial" w:hAnsi="Arial" w:cs="Arial"/>
        </w:rPr>
        <w:t xml:space="preserve">macrorregião </w:t>
      </w:r>
      <w:r>
        <w:rPr>
          <w:rFonts w:ascii="Arial" w:hAnsi="Arial" w:cs="Arial"/>
        </w:rPr>
        <w:t>geográfica a que fazem parte: Norte, Nordeste, Centro-oeste, Sudeste e Sul e a análise a respeito do tema descentralização fiscal e crescimento econômico será realizada por região.</w:t>
      </w:r>
    </w:p>
    <w:p w14:paraId="32E448FC" w14:textId="43BED609" w:rsidR="004E0034" w:rsidRDefault="00BA02AF" w:rsidP="00370F1F">
      <w:pPr>
        <w:spacing w:line="360" w:lineRule="auto"/>
        <w:jc w:val="both"/>
        <w:rPr>
          <w:rFonts w:ascii="Arial" w:hAnsi="Arial" w:cs="Arial"/>
        </w:rPr>
      </w:pPr>
      <w:r>
        <w:rPr>
          <w:rFonts w:ascii="Arial" w:hAnsi="Arial" w:cs="Arial"/>
        </w:rPr>
        <w:tab/>
        <w:t xml:space="preserve">A variável dependente definida é a variação real do PIB </w:t>
      </w:r>
      <w:r>
        <w:rPr>
          <w:rFonts w:ascii="Arial" w:hAnsi="Arial" w:cs="Arial"/>
          <w:i/>
          <w:iCs/>
        </w:rPr>
        <w:t>per capita</w:t>
      </w:r>
      <w:r>
        <w:rPr>
          <w:rFonts w:ascii="Arial" w:hAnsi="Arial" w:cs="Arial"/>
        </w:rPr>
        <w:t xml:space="preserve"> ano a ano, esta é a variável escolhida como medida de crescimento econômico para fins de análise da influência da descentralização fiscal. A seguir são apresentadas as variáveis utilizadas.</w:t>
      </w:r>
    </w:p>
    <w:p w14:paraId="0B25EEA4" w14:textId="77777777" w:rsidR="004E0034" w:rsidRDefault="004E0034">
      <w:pPr>
        <w:rPr>
          <w:rFonts w:ascii="Arial" w:hAnsi="Arial" w:cs="Arial"/>
        </w:rPr>
      </w:pPr>
      <w:r>
        <w:rPr>
          <w:rFonts w:ascii="Arial" w:hAnsi="Arial" w:cs="Arial"/>
        </w:rPr>
        <w:br w:type="page"/>
      </w:r>
    </w:p>
    <w:p w14:paraId="67730CCC" w14:textId="77F8A3DC" w:rsidR="00BE567F" w:rsidRDefault="004E0034" w:rsidP="00370F1F">
      <w:pPr>
        <w:spacing w:line="360" w:lineRule="auto"/>
        <w:jc w:val="both"/>
        <w:rPr>
          <w:rFonts w:ascii="Arial" w:hAnsi="Arial" w:cs="Arial"/>
        </w:rPr>
      </w:pPr>
      <w:r w:rsidRPr="003343E0">
        <w:rPr>
          <w:rFonts w:ascii="Arial" w:hAnsi="Arial" w:cs="Arial"/>
          <w:b/>
        </w:rPr>
        <w:lastRenderedPageBreak/>
        <w:t xml:space="preserve">Tabela 1 – </w:t>
      </w:r>
      <w:r>
        <w:rPr>
          <w:rFonts w:ascii="Arial" w:hAnsi="Arial" w:cs="Arial"/>
        </w:rPr>
        <w:t>Descrição das variáveis utilizadas.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1968"/>
        <w:gridCol w:w="5379"/>
      </w:tblGrid>
      <w:tr w:rsidR="00B33D61" w:rsidRPr="00370F1F" w14:paraId="585D6E84" w14:textId="77777777" w:rsidTr="00370F1F">
        <w:tc>
          <w:tcPr>
            <w:tcW w:w="1151" w:type="dxa"/>
            <w:tcBorders>
              <w:top w:val="single" w:sz="4" w:space="0" w:color="auto"/>
              <w:bottom w:val="single" w:sz="4" w:space="0" w:color="auto"/>
            </w:tcBorders>
          </w:tcPr>
          <w:p w14:paraId="2A099ADE" w14:textId="054045A7" w:rsidR="00BE567F" w:rsidRPr="00370F1F" w:rsidRDefault="00BE567F" w:rsidP="00BA02AF">
            <w:pPr>
              <w:jc w:val="both"/>
              <w:rPr>
                <w:rFonts w:ascii="Arial" w:hAnsi="Arial" w:cs="Arial"/>
              </w:rPr>
            </w:pPr>
            <w:r w:rsidRPr="00370F1F">
              <w:rPr>
                <w:rFonts w:ascii="Arial" w:hAnsi="Arial" w:cs="Arial"/>
              </w:rPr>
              <w:t>Legenda</w:t>
            </w:r>
          </w:p>
        </w:tc>
        <w:tc>
          <w:tcPr>
            <w:tcW w:w="1968" w:type="dxa"/>
            <w:tcBorders>
              <w:top w:val="single" w:sz="4" w:space="0" w:color="auto"/>
              <w:bottom w:val="single" w:sz="4" w:space="0" w:color="auto"/>
            </w:tcBorders>
          </w:tcPr>
          <w:p w14:paraId="4D86F1FE" w14:textId="625A1832" w:rsidR="00BE567F" w:rsidRPr="00370F1F" w:rsidRDefault="00BE567F" w:rsidP="00BA02AF">
            <w:pPr>
              <w:jc w:val="both"/>
              <w:rPr>
                <w:rFonts w:ascii="Arial" w:hAnsi="Arial" w:cs="Arial"/>
              </w:rPr>
            </w:pPr>
            <w:r w:rsidRPr="00370F1F">
              <w:rPr>
                <w:rFonts w:ascii="Arial" w:hAnsi="Arial" w:cs="Arial"/>
              </w:rPr>
              <w:t>Variável</w:t>
            </w:r>
          </w:p>
        </w:tc>
        <w:tc>
          <w:tcPr>
            <w:tcW w:w="5379" w:type="dxa"/>
            <w:tcBorders>
              <w:top w:val="single" w:sz="4" w:space="0" w:color="auto"/>
              <w:bottom w:val="single" w:sz="4" w:space="0" w:color="auto"/>
            </w:tcBorders>
          </w:tcPr>
          <w:p w14:paraId="4CFE71B8" w14:textId="03C158ED" w:rsidR="00BE567F" w:rsidRPr="00370F1F" w:rsidRDefault="00BE567F" w:rsidP="00370F1F">
            <w:pPr>
              <w:jc w:val="center"/>
              <w:rPr>
                <w:rFonts w:ascii="Arial" w:hAnsi="Arial" w:cs="Arial"/>
              </w:rPr>
            </w:pPr>
            <w:r w:rsidRPr="00370F1F">
              <w:rPr>
                <w:rFonts w:ascii="Arial" w:hAnsi="Arial" w:cs="Arial"/>
              </w:rPr>
              <w:t>Descrição</w:t>
            </w:r>
          </w:p>
        </w:tc>
      </w:tr>
      <w:tr w:rsidR="00B33D61" w:rsidRPr="00370F1F" w14:paraId="6807A603" w14:textId="77777777" w:rsidTr="00370F1F">
        <w:tc>
          <w:tcPr>
            <w:tcW w:w="1151" w:type="dxa"/>
            <w:tcBorders>
              <w:top w:val="single" w:sz="4" w:space="0" w:color="auto"/>
            </w:tcBorders>
            <w:vAlign w:val="center"/>
          </w:tcPr>
          <w:p w14:paraId="4B5BC407" w14:textId="322E64FA" w:rsidR="00B33D61" w:rsidRPr="000C1019" w:rsidRDefault="00107504" w:rsidP="00B33D61">
            <w:pPr>
              <w:rPr>
                <w:rFonts w:ascii="Arial" w:hAnsi="Arial" w:cs="Arial"/>
                <w:i/>
                <w:iCs/>
              </w:rPr>
            </w:pPr>
            <w:r>
              <w:rPr>
                <w:rFonts w:ascii="Arial" w:hAnsi="Arial" w:cs="Arial"/>
                <w:i/>
                <w:iCs/>
              </w:rPr>
              <w:sym w:font="Symbol" w:char="F044"/>
            </w:r>
            <w:r w:rsidR="00B33D61" w:rsidRPr="000C1019">
              <w:rPr>
                <w:rFonts w:ascii="Arial" w:hAnsi="Arial" w:cs="Arial"/>
                <w:i/>
                <w:iCs/>
              </w:rPr>
              <w:t>PIB</w:t>
            </w:r>
            <w:r w:rsidR="00B33D61" w:rsidRPr="000C1019">
              <w:rPr>
                <w:rStyle w:val="Refdenotaderodap"/>
                <w:rFonts w:ascii="Arial" w:hAnsi="Arial" w:cs="Arial"/>
                <w:i/>
                <w:iCs/>
              </w:rPr>
              <w:footnoteReference w:id="5"/>
            </w:r>
          </w:p>
        </w:tc>
        <w:tc>
          <w:tcPr>
            <w:tcW w:w="1968" w:type="dxa"/>
            <w:tcBorders>
              <w:top w:val="single" w:sz="4" w:space="0" w:color="auto"/>
            </w:tcBorders>
            <w:vAlign w:val="center"/>
          </w:tcPr>
          <w:p w14:paraId="1A7C0B2D" w14:textId="47BD6BBB" w:rsidR="00B33D61" w:rsidRPr="00107504" w:rsidRDefault="00107504" w:rsidP="00B33D61">
            <w:pPr>
              <w:rPr>
                <w:rFonts w:ascii="Arial" w:hAnsi="Arial" w:cs="Arial"/>
                <w:i/>
                <w:iCs/>
              </w:rPr>
            </w:pPr>
            <w:r>
              <w:rPr>
                <w:rFonts w:ascii="Arial" w:hAnsi="Arial" w:cs="Arial"/>
              </w:rPr>
              <w:t xml:space="preserve">Variação real do </w:t>
            </w:r>
            <w:r w:rsidR="00B33D61" w:rsidRPr="000C1019">
              <w:rPr>
                <w:rFonts w:ascii="Arial" w:hAnsi="Arial" w:cs="Arial"/>
              </w:rPr>
              <w:t>Produto Interno Bruto</w:t>
            </w:r>
            <w:r>
              <w:rPr>
                <w:rFonts w:ascii="Arial" w:hAnsi="Arial" w:cs="Arial"/>
              </w:rPr>
              <w:t xml:space="preserve"> </w:t>
            </w:r>
            <w:r>
              <w:rPr>
                <w:rFonts w:ascii="Arial" w:hAnsi="Arial" w:cs="Arial"/>
                <w:i/>
                <w:iCs/>
              </w:rPr>
              <w:t>per capita</w:t>
            </w:r>
          </w:p>
        </w:tc>
        <w:tc>
          <w:tcPr>
            <w:tcW w:w="5379" w:type="dxa"/>
            <w:tcBorders>
              <w:top w:val="single" w:sz="4" w:space="0" w:color="auto"/>
            </w:tcBorders>
          </w:tcPr>
          <w:p w14:paraId="3D37887A" w14:textId="77777777" w:rsidR="00B33D61" w:rsidRDefault="00107504" w:rsidP="00107504">
            <w:pPr>
              <w:jc w:val="both"/>
              <w:rPr>
                <w:rFonts w:ascii="Arial" w:hAnsi="Arial" w:cs="Arial"/>
              </w:rPr>
            </w:pPr>
            <w:r>
              <w:rPr>
                <w:rFonts w:ascii="Arial" w:hAnsi="Arial" w:cs="Arial"/>
              </w:rPr>
              <w:t xml:space="preserve">Taxa de variação ano a ano da </w:t>
            </w:r>
            <w:r w:rsidR="00B33D61" w:rsidRPr="000C1019">
              <w:rPr>
                <w:rFonts w:ascii="Arial" w:hAnsi="Arial" w:cs="Arial"/>
              </w:rPr>
              <w:t>Soma de todos os bens e serviços finais da economia</w:t>
            </w:r>
            <w:r>
              <w:rPr>
                <w:rFonts w:ascii="Arial" w:hAnsi="Arial" w:cs="Arial"/>
              </w:rPr>
              <w:t xml:space="preserve"> dividida pela população da região no ano estudado.</w:t>
            </w:r>
          </w:p>
          <w:p w14:paraId="23C56D87" w14:textId="23F305F0" w:rsidR="00107504" w:rsidRPr="000C1019" w:rsidRDefault="00107504" w:rsidP="00107504">
            <w:pPr>
              <w:jc w:val="both"/>
              <w:rPr>
                <w:rFonts w:ascii="Arial" w:hAnsi="Arial" w:cs="Arial"/>
              </w:rPr>
            </w:pPr>
          </w:p>
        </w:tc>
      </w:tr>
      <w:tr w:rsidR="00B33D61" w:rsidRPr="00370F1F" w14:paraId="7A5CB596" w14:textId="77777777" w:rsidTr="00370F1F">
        <w:tc>
          <w:tcPr>
            <w:tcW w:w="1151" w:type="dxa"/>
            <w:vAlign w:val="center"/>
          </w:tcPr>
          <w:p w14:paraId="1365B385" w14:textId="750DCFBD" w:rsidR="00BE567F" w:rsidRPr="00370F1F" w:rsidRDefault="00BE567F" w:rsidP="00370F1F">
            <w:pPr>
              <w:rPr>
                <w:rFonts w:ascii="Arial" w:hAnsi="Arial" w:cs="Arial"/>
                <w:i/>
                <w:iCs/>
              </w:rPr>
            </w:pPr>
            <w:r w:rsidRPr="00370F1F">
              <w:rPr>
                <w:rFonts w:ascii="Arial" w:hAnsi="Arial" w:cs="Arial"/>
                <w:i/>
                <w:iCs/>
              </w:rPr>
              <w:t>G</w:t>
            </w:r>
            <w:r w:rsidR="003822AF" w:rsidRPr="00370F1F">
              <w:rPr>
                <w:rStyle w:val="Refdenotaderodap"/>
                <w:rFonts w:ascii="Arial" w:hAnsi="Arial" w:cs="Arial"/>
                <w:i/>
                <w:iCs/>
              </w:rPr>
              <w:footnoteReference w:id="6"/>
            </w:r>
          </w:p>
        </w:tc>
        <w:tc>
          <w:tcPr>
            <w:tcW w:w="1968" w:type="dxa"/>
            <w:vAlign w:val="center"/>
          </w:tcPr>
          <w:p w14:paraId="3FA4A891" w14:textId="5C756C62" w:rsidR="00BE567F" w:rsidRPr="00370F1F" w:rsidRDefault="00BE567F" w:rsidP="00370F1F">
            <w:pPr>
              <w:rPr>
                <w:rFonts w:ascii="Arial" w:hAnsi="Arial" w:cs="Arial"/>
              </w:rPr>
            </w:pPr>
            <w:r w:rsidRPr="00370F1F">
              <w:rPr>
                <w:rFonts w:ascii="Arial" w:hAnsi="Arial" w:cs="Arial"/>
              </w:rPr>
              <w:t>Índice de Gini</w:t>
            </w:r>
          </w:p>
        </w:tc>
        <w:tc>
          <w:tcPr>
            <w:tcW w:w="5379" w:type="dxa"/>
          </w:tcPr>
          <w:p w14:paraId="1CB22F66" w14:textId="77777777" w:rsidR="00BE567F" w:rsidRPr="00370F1F" w:rsidRDefault="00BE567F" w:rsidP="00BA02AF">
            <w:pPr>
              <w:jc w:val="both"/>
              <w:rPr>
                <w:rFonts w:ascii="Arial" w:hAnsi="Arial" w:cs="Arial"/>
              </w:rPr>
            </w:pPr>
            <w:r w:rsidRPr="00370F1F">
              <w:rPr>
                <w:rFonts w:ascii="Arial" w:hAnsi="Arial" w:cs="Arial"/>
              </w:rPr>
              <w:t>Medida de desigualdade social, varia de zero a 1, quanto mais próximo de 1 mais desigual é a distribuição de renda.</w:t>
            </w:r>
          </w:p>
          <w:p w14:paraId="2AE3A5CF" w14:textId="5290EBC8" w:rsidR="003822AF" w:rsidRPr="00370F1F" w:rsidRDefault="003822AF" w:rsidP="00BA02AF">
            <w:pPr>
              <w:jc w:val="both"/>
              <w:rPr>
                <w:rFonts w:ascii="Arial" w:hAnsi="Arial" w:cs="Arial"/>
              </w:rPr>
            </w:pPr>
          </w:p>
        </w:tc>
      </w:tr>
      <w:tr w:rsidR="00B33D61" w:rsidRPr="00370F1F" w14:paraId="1E8B9D80" w14:textId="77777777" w:rsidTr="00370F1F">
        <w:tc>
          <w:tcPr>
            <w:tcW w:w="1151" w:type="dxa"/>
            <w:vAlign w:val="center"/>
          </w:tcPr>
          <w:p w14:paraId="51AF2EF5" w14:textId="7726085A" w:rsidR="00BE567F" w:rsidRPr="00370F1F" w:rsidRDefault="00BE567F" w:rsidP="00370F1F">
            <w:pPr>
              <w:rPr>
                <w:rFonts w:ascii="Arial" w:hAnsi="Arial" w:cs="Arial"/>
                <w:i/>
                <w:iCs/>
              </w:rPr>
            </w:pPr>
            <w:r w:rsidRPr="00370F1F">
              <w:rPr>
                <w:rFonts w:ascii="Arial" w:hAnsi="Arial" w:cs="Arial"/>
                <w:i/>
                <w:iCs/>
              </w:rPr>
              <w:t>An</w:t>
            </w:r>
            <w:r w:rsidR="003822AF" w:rsidRPr="00370F1F">
              <w:rPr>
                <w:rStyle w:val="Refdenotaderodap"/>
                <w:rFonts w:ascii="Arial" w:hAnsi="Arial" w:cs="Arial"/>
                <w:i/>
                <w:iCs/>
              </w:rPr>
              <w:footnoteReference w:id="7"/>
            </w:r>
          </w:p>
        </w:tc>
        <w:tc>
          <w:tcPr>
            <w:tcW w:w="1968" w:type="dxa"/>
            <w:vAlign w:val="center"/>
          </w:tcPr>
          <w:p w14:paraId="48A94365" w14:textId="79DB2971" w:rsidR="00BE567F" w:rsidRPr="00370F1F" w:rsidRDefault="00BE567F" w:rsidP="00370F1F">
            <w:pPr>
              <w:rPr>
                <w:rFonts w:ascii="Arial" w:hAnsi="Arial" w:cs="Arial"/>
              </w:rPr>
            </w:pPr>
            <w:r w:rsidRPr="00370F1F">
              <w:rPr>
                <w:rFonts w:ascii="Arial" w:hAnsi="Arial" w:cs="Arial"/>
              </w:rPr>
              <w:t>Analfabetismo</w:t>
            </w:r>
          </w:p>
        </w:tc>
        <w:tc>
          <w:tcPr>
            <w:tcW w:w="5379" w:type="dxa"/>
          </w:tcPr>
          <w:p w14:paraId="455597A6" w14:textId="77777777" w:rsidR="00BE567F" w:rsidRPr="00370F1F" w:rsidRDefault="00BE567F" w:rsidP="00BA02AF">
            <w:pPr>
              <w:jc w:val="both"/>
              <w:rPr>
                <w:rFonts w:ascii="Arial" w:hAnsi="Arial" w:cs="Arial"/>
              </w:rPr>
            </w:pPr>
            <w:r w:rsidRPr="00370F1F">
              <w:rPr>
                <w:rFonts w:ascii="Arial" w:hAnsi="Arial" w:cs="Arial"/>
              </w:rPr>
              <w:t>Medida do nível de educação. É o percentual de pessoas com 15 anos ou mais de idade que não abem ler ou escrever pelo menos um bilhete simples, no idioma que conhecem, na população total residentes da mesma faixa etária.</w:t>
            </w:r>
          </w:p>
          <w:p w14:paraId="208B6418" w14:textId="7AD12A6D" w:rsidR="003822AF" w:rsidRPr="00370F1F" w:rsidRDefault="003822AF" w:rsidP="00BA02AF">
            <w:pPr>
              <w:jc w:val="both"/>
              <w:rPr>
                <w:rFonts w:ascii="Arial" w:hAnsi="Arial" w:cs="Arial"/>
              </w:rPr>
            </w:pPr>
          </w:p>
        </w:tc>
      </w:tr>
      <w:tr w:rsidR="00BE567F" w:rsidRPr="00370F1F" w14:paraId="23312EEF" w14:textId="77777777" w:rsidTr="00370F1F">
        <w:tc>
          <w:tcPr>
            <w:tcW w:w="1151" w:type="dxa"/>
            <w:vAlign w:val="center"/>
          </w:tcPr>
          <w:p w14:paraId="488FFC5C" w14:textId="69E05221" w:rsidR="00BE567F" w:rsidRPr="00370F1F" w:rsidRDefault="00BE567F" w:rsidP="00370F1F">
            <w:pPr>
              <w:rPr>
                <w:rFonts w:ascii="Arial" w:hAnsi="Arial" w:cs="Arial"/>
                <w:i/>
                <w:iCs/>
              </w:rPr>
            </w:pPr>
            <w:r w:rsidRPr="00370F1F">
              <w:rPr>
                <w:rFonts w:ascii="Arial" w:hAnsi="Arial" w:cs="Arial"/>
                <w:i/>
                <w:iCs/>
              </w:rPr>
              <w:t>MI</w:t>
            </w:r>
            <w:r w:rsidR="003822AF" w:rsidRPr="00370F1F">
              <w:rPr>
                <w:rStyle w:val="Refdenotaderodap"/>
                <w:rFonts w:ascii="Arial" w:hAnsi="Arial" w:cs="Arial"/>
                <w:i/>
                <w:iCs/>
              </w:rPr>
              <w:footnoteReference w:id="8"/>
            </w:r>
          </w:p>
        </w:tc>
        <w:tc>
          <w:tcPr>
            <w:tcW w:w="1968" w:type="dxa"/>
            <w:vAlign w:val="center"/>
          </w:tcPr>
          <w:p w14:paraId="56D13897" w14:textId="3474C2D2" w:rsidR="00BE567F" w:rsidRPr="00370F1F" w:rsidRDefault="003822AF" w:rsidP="00370F1F">
            <w:pPr>
              <w:rPr>
                <w:rFonts w:ascii="Arial" w:hAnsi="Arial" w:cs="Arial"/>
              </w:rPr>
            </w:pPr>
            <w:r w:rsidRPr="00370F1F">
              <w:rPr>
                <w:rFonts w:ascii="Arial" w:hAnsi="Arial" w:cs="Arial"/>
              </w:rPr>
              <w:t>Mo</w:t>
            </w:r>
            <w:r w:rsidR="00BE567F" w:rsidRPr="00370F1F">
              <w:rPr>
                <w:rFonts w:ascii="Arial" w:hAnsi="Arial" w:cs="Arial"/>
              </w:rPr>
              <w:t>rtalidade infantil</w:t>
            </w:r>
          </w:p>
        </w:tc>
        <w:tc>
          <w:tcPr>
            <w:tcW w:w="5379" w:type="dxa"/>
          </w:tcPr>
          <w:p w14:paraId="5D8421EB" w14:textId="77777777" w:rsidR="00BE567F" w:rsidRPr="00370F1F" w:rsidRDefault="00BE567F" w:rsidP="00BA02AF">
            <w:pPr>
              <w:jc w:val="both"/>
              <w:rPr>
                <w:rFonts w:ascii="Arial" w:hAnsi="Arial" w:cs="Arial"/>
              </w:rPr>
            </w:pPr>
            <w:r w:rsidRPr="00370F1F">
              <w:rPr>
                <w:rFonts w:ascii="Arial" w:hAnsi="Arial" w:cs="Arial"/>
              </w:rPr>
              <w:t>Medida do nível de saúde e desenvolvimento socioeconômico. É o número de óbitos de crianças menores de um ano de idade a cada mil nascidas vivas.</w:t>
            </w:r>
          </w:p>
          <w:p w14:paraId="3374CEE0" w14:textId="7FA7A579" w:rsidR="003822AF" w:rsidRPr="00370F1F" w:rsidRDefault="003822AF" w:rsidP="00BA02AF">
            <w:pPr>
              <w:jc w:val="both"/>
              <w:rPr>
                <w:rFonts w:ascii="Arial" w:hAnsi="Arial" w:cs="Arial"/>
              </w:rPr>
            </w:pPr>
          </w:p>
        </w:tc>
      </w:tr>
      <w:tr w:rsidR="00BE567F" w:rsidRPr="00370F1F" w14:paraId="1B775738" w14:textId="77777777" w:rsidTr="00370F1F">
        <w:tc>
          <w:tcPr>
            <w:tcW w:w="1151" w:type="dxa"/>
            <w:vAlign w:val="center"/>
          </w:tcPr>
          <w:p w14:paraId="699918EA" w14:textId="3F2EEA63" w:rsidR="00BE567F" w:rsidRPr="00370F1F" w:rsidRDefault="00BE567F" w:rsidP="00370F1F">
            <w:pPr>
              <w:rPr>
                <w:rFonts w:ascii="Arial" w:hAnsi="Arial" w:cs="Arial"/>
                <w:i/>
                <w:iCs/>
              </w:rPr>
            </w:pPr>
            <w:r w:rsidRPr="00370F1F">
              <w:rPr>
                <w:rFonts w:ascii="Arial" w:hAnsi="Arial" w:cs="Arial"/>
                <w:i/>
                <w:iCs/>
              </w:rPr>
              <w:t>Hom</w:t>
            </w:r>
            <w:r w:rsidR="003822AF" w:rsidRPr="00370F1F">
              <w:rPr>
                <w:rStyle w:val="Refdenotaderodap"/>
                <w:rFonts w:ascii="Arial" w:hAnsi="Arial" w:cs="Arial"/>
                <w:i/>
                <w:iCs/>
              </w:rPr>
              <w:footnoteReference w:id="9"/>
            </w:r>
          </w:p>
        </w:tc>
        <w:tc>
          <w:tcPr>
            <w:tcW w:w="1968" w:type="dxa"/>
            <w:vAlign w:val="center"/>
          </w:tcPr>
          <w:p w14:paraId="315DB402" w14:textId="13415CFD" w:rsidR="00BE567F" w:rsidRPr="00370F1F" w:rsidRDefault="003822AF" w:rsidP="00370F1F">
            <w:pPr>
              <w:rPr>
                <w:rFonts w:ascii="Arial" w:hAnsi="Arial" w:cs="Arial"/>
              </w:rPr>
            </w:pPr>
            <w:r w:rsidRPr="00370F1F">
              <w:rPr>
                <w:rFonts w:ascii="Arial" w:hAnsi="Arial" w:cs="Arial"/>
              </w:rPr>
              <w:t>H</w:t>
            </w:r>
            <w:r w:rsidR="00BE567F" w:rsidRPr="00370F1F">
              <w:rPr>
                <w:rFonts w:ascii="Arial" w:hAnsi="Arial" w:cs="Arial"/>
              </w:rPr>
              <w:t>omicídios</w:t>
            </w:r>
          </w:p>
        </w:tc>
        <w:tc>
          <w:tcPr>
            <w:tcW w:w="5379" w:type="dxa"/>
          </w:tcPr>
          <w:p w14:paraId="50DC2E6C" w14:textId="77777777" w:rsidR="00BE567F" w:rsidRDefault="00BE567F" w:rsidP="00BA02AF">
            <w:pPr>
              <w:jc w:val="both"/>
              <w:rPr>
                <w:rFonts w:ascii="Arial" w:hAnsi="Arial" w:cs="Arial"/>
              </w:rPr>
            </w:pPr>
            <w:r w:rsidRPr="00370F1F">
              <w:rPr>
                <w:rFonts w:ascii="Arial" w:hAnsi="Arial" w:cs="Arial"/>
              </w:rPr>
              <w:t>Medida do nível de segurança pública. consiste no número de homicídios por grupo de 100 mil habitantes no ano considerado.</w:t>
            </w:r>
          </w:p>
          <w:p w14:paraId="72CF72E3" w14:textId="53D5EC6F" w:rsidR="00370F1F" w:rsidRPr="00370F1F" w:rsidRDefault="00370F1F" w:rsidP="00370F1F">
            <w:pPr>
              <w:jc w:val="both"/>
              <w:rPr>
                <w:rFonts w:ascii="Arial" w:hAnsi="Arial" w:cs="Arial"/>
              </w:rPr>
            </w:pPr>
          </w:p>
        </w:tc>
      </w:tr>
      <w:tr w:rsidR="00B33D61" w:rsidRPr="00370F1F" w14:paraId="27001CD4" w14:textId="77777777" w:rsidTr="00B33D61">
        <w:tc>
          <w:tcPr>
            <w:tcW w:w="1151" w:type="dxa"/>
            <w:tcBorders>
              <w:bottom w:val="single" w:sz="4" w:space="0" w:color="auto"/>
            </w:tcBorders>
            <w:vAlign w:val="center"/>
          </w:tcPr>
          <w:p w14:paraId="1E81EAB0" w14:textId="059F139F" w:rsidR="00B33D61" w:rsidRPr="00B33D61" w:rsidRDefault="00B33D61" w:rsidP="00B33D61">
            <w:pPr>
              <w:rPr>
                <w:rFonts w:ascii="Arial" w:hAnsi="Arial" w:cs="Arial"/>
                <w:i/>
                <w:iCs/>
              </w:rPr>
            </w:pPr>
            <w:r>
              <w:rPr>
                <w:rFonts w:ascii="Arial" w:hAnsi="Arial" w:cs="Arial"/>
                <w:i/>
                <w:iCs/>
              </w:rPr>
              <w:t>Pop</w:t>
            </w:r>
            <w:r>
              <w:rPr>
                <w:rStyle w:val="Refdenotaderodap"/>
                <w:rFonts w:ascii="Arial" w:hAnsi="Arial" w:cs="Arial"/>
                <w:i/>
                <w:iCs/>
              </w:rPr>
              <w:footnoteReference w:id="10"/>
            </w:r>
          </w:p>
        </w:tc>
        <w:tc>
          <w:tcPr>
            <w:tcW w:w="1968" w:type="dxa"/>
            <w:tcBorders>
              <w:bottom w:val="single" w:sz="4" w:space="0" w:color="auto"/>
            </w:tcBorders>
            <w:vAlign w:val="center"/>
          </w:tcPr>
          <w:p w14:paraId="7915327B" w14:textId="596EAAE6" w:rsidR="00B33D61" w:rsidRPr="00B33D61" w:rsidRDefault="00B33D61" w:rsidP="00B33D61">
            <w:pPr>
              <w:rPr>
                <w:rFonts w:ascii="Arial" w:hAnsi="Arial" w:cs="Arial"/>
              </w:rPr>
            </w:pPr>
            <w:r>
              <w:rPr>
                <w:rFonts w:ascii="Arial" w:hAnsi="Arial" w:cs="Arial"/>
              </w:rPr>
              <w:t>População</w:t>
            </w:r>
          </w:p>
        </w:tc>
        <w:tc>
          <w:tcPr>
            <w:tcW w:w="5379" w:type="dxa"/>
            <w:tcBorders>
              <w:bottom w:val="single" w:sz="4" w:space="0" w:color="auto"/>
            </w:tcBorders>
          </w:tcPr>
          <w:p w14:paraId="3D3EA300" w14:textId="6299C08F" w:rsidR="00B33D61" w:rsidRPr="00B33D61" w:rsidRDefault="00370F1F" w:rsidP="00BA02AF">
            <w:pPr>
              <w:jc w:val="both"/>
              <w:rPr>
                <w:rFonts w:ascii="Arial" w:hAnsi="Arial" w:cs="Arial"/>
              </w:rPr>
            </w:pPr>
            <w:r>
              <w:rPr>
                <w:rFonts w:ascii="Arial" w:hAnsi="Arial" w:cs="Arial"/>
              </w:rPr>
              <w:t>Número de residentes em cada Estado no ano de referência.</w:t>
            </w:r>
          </w:p>
        </w:tc>
      </w:tr>
    </w:tbl>
    <w:p w14:paraId="0F27B399" w14:textId="77777777" w:rsidR="00673DDA" w:rsidRDefault="00673DDA" w:rsidP="00C80D4B">
      <w:pPr>
        <w:spacing w:line="360" w:lineRule="auto"/>
        <w:rPr>
          <w:rFonts w:ascii="Arial" w:hAnsi="Arial" w:cs="Arial"/>
        </w:rPr>
      </w:pPr>
    </w:p>
    <w:p w14:paraId="35E43AB5" w14:textId="1E36E9D5" w:rsidR="00523A0F" w:rsidRDefault="00A37036" w:rsidP="00370F1F">
      <w:pPr>
        <w:spacing w:line="360" w:lineRule="auto"/>
        <w:jc w:val="both"/>
        <w:rPr>
          <w:rFonts w:ascii="Arial" w:hAnsi="Arial" w:cs="Arial"/>
        </w:rPr>
      </w:pPr>
      <w:r w:rsidRPr="00370F1F">
        <w:rPr>
          <w:rFonts w:ascii="Arial" w:hAnsi="Arial" w:cs="Arial"/>
        </w:rPr>
        <w:tab/>
        <w:t>Foram escolhidos como indicadores de descentralização os mesmos utilizados por Akai e Sakata</w:t>
      </w:r>
      <w:r w:rsidR="002C1F10" w:rsidRPr="00370F1F">
        <w:rPr>
          <w:rFonts w:ascii="Arial" w:hAnsi="Arial" w:cs="Arial"/>
        </w:rPr>
        <w:t xml:space="preserve"> </w:t>
      </w:r>
      <w:r w:rsidRPr="00370F1F">
        <w:rPr>
          <w:rFonts w:ascii="Arial" w:hAnsi="Arial" w:cs="Arial"/>
        </w:rPr>
        <w:t>no trabalho publicado em 2002, pois foi um trabalho que conseguiu comprovar a hipótese teórica no caso que estudaram e podem ser reproduzidos com os dados disponíveis para este trabalho. São descritos a seguir:</w:t>
      </w:r>
    </w:p>
    <w:p w14:paraId="3BB54222" w14:textId="77777777" w:rsidR="00523A0F" w:rsidRDefault="00523A0F">
      <w:pPr>
        <w:rPr>
          <w:rFonts w:ascii="Arial" w:hAnsi="Arial" w:cs="Arial"/>
        </w:rPr>
      </w:pPr>
      <w:r>
        <w:rPr>
          <w:rFonts w:ascii="Arial" w:hAnsi="Arial" w:cs="Arial"/>
        </w:rPr>
        <w:br w:type="page"/>
      </w:r>
    </w:p>
    <w:p w14:paraId="18B321A4" w14:textId="0F2CF38E" w:rsidR="004E0034" w:rsidRPr="00370F1F" w:rsidRDefault="004E0034" w:rsidP="00370F1F">
      <w:pPr>
        <w:spacing w:line="360" w:lineRule="auto"/>
        <w:jc w:val="both"/>
        <w:rPr>
          <w:rFonts w:ascii="Arial" w:hAnsi="Arial" w:cs="Arial"/>
        </w:rPr>
      </w:pPr>
      <w:r w:rsidRPr="003343E0">
        <w:rPr>
          <w:rFonts w:ascii="Arial" w:hAnsi="Arial" w:cs="Arial"/>
          <w:b/>
        </w:rPr>
        <w:t xml:space="preserve">Tabela </w:t>
      </w:r>
      <w:r w:rsidR="008E37A9">
        <w:rPr>
          <w:rFonts w:ascii="Arial" w:hAnsi="Arial" w:cs="Arial"/>
          <w:b/>
        </w:rPr>
        <w:t>2</w:t>
      </w:r>
      <w:r w:rsidRPr="003343E0">
        <w:rPr>
          <w:rFonts w:ascii="Arial" w:hAnsi="Arial" w:cs="Arial"/>
          <w:b/>
        </w:rPr>
        <w:t xml:space="preserve"> – </w:t>
      </w:r>
      <w:r>
        <w:rPr>
          <w:rFonts w:ascii="Arial" w:hAnsi="Arial" w:cs="Arial"/>
        </w:rPr>
        <w:t>Descrição dos Indicadores de descentralização.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1"/>
        <w:gridCol w:w="1631"/>
        <w:gridCol w:w="5716"/>
      </w:tblGrid>
      <w:tr w:rsidR="00A37036" w:rsidRPr="00370F1F" w14:paraId="36D9A73A" w14:textId="77777777" w:rsidTr="00495CBB">
        <w:tc>
          <w:tcPr>
            <w:tcW w:w="1128" w:type="dxa"/>
            <w:tcBorders>
              <w:top w:val="single" w:sz="4" w:space="0" w:color="auto"/>
              <w:bottom w:val="single" w:sz="4" w:space="0" w:color="auto"/>
            </w:tcBorders>
          </w:tcPr>
          <w:p w14:paraId="08FD181A" w14:textId="77777777" w:rsidR="00A37036" w:rsidRPr="00370F1F" w:rsidRDefault="00A37036" w:rsidP="00495CBB">
            <w:pPr>
              <w:jc w:val="both"/>
              <w:rPr>
                <w:rFonts w:ascii="Arial" w:hAnsi="Arial" w:cs="Arial"/>
              </w:rPr>
            </w:pPr>
            <w:r w:rsidRPr="00370F1F">
              <w:rPr>
                <w:rFonts w:ascii="Arial" w:hAnsi="Arial" w:cs="Arial"/>
              </w:rPr>
              <w:t>Legenda</w:t>
            </w:r>
          </w:p>
        </w:tc>
        <w:tc>
          <w:tcPr>
            <w:tcW w:w="1633" w:type="dxa"/>
            <w:tcBorders>
              <w:top w:val="single" w:sz="4" w:space="0" w:color="auto"/>
              <w:bottom w:val="single" w:sz="4" w:space="0" w:color="auto"/>
            </w:tcBorders>
          </w:tcPr>
          <w:p w14:paraId="709246A7" w14:textId="4E3CD599" w:rsidR="00A37036" w:rsidRPr="00370F1F" w:rsidRDefault="00A37036" w:rsidP="00495CBB">
            <w:pPr>
              <w:jc w:val="both"/>
              <w:rPr>
                <w:rFonts w:ascii="Arial" w:hAnsi="Arial" w:cs="Arial"/>
              </w:rPr>
            </w:pPr>
            <w:r w:rsidRPr="00370F1F">
              <w:rPr>
                <w:rFonts w:ascii="Arial" w:hAnsi="Arial" w:cs="Arial"/>
              </w:rPr>
              <w:t>Indicador</w:t>
            </w:r>
          </w:p>
        </w:tc>
        <w:tc>
          <w:tcPr>
            <w:tcW w:w="5737" w:type="dxa"/>
            <w:tcBorders>
              <w:top w:val="single" w:sz="4" w:space="0" w:color="auto"/>
              <w:bottom w:val="single" w:sz="4" w:space="0" w:color="auto"/>
            </w:tcBorders>
          </w:tcPr>
          <w:p w14:paraId="36AD7120" w14:textId="77777777" w:rsidR="00A37036" w:rsidRPr="00370F1F" w:rsidRDefault="00A37036" w:rsidP="00495CBB">
            <w:pPr>
              <w:jc w:val="center"/>
              <w:rPr>
                <w:rFonts w:ascii="Arial" w:hAnsi="Arial" w:cs="Arial"/>
              </w:rPr>
            </w:pPr>
            <w:r w:rsidRPr="00370F1F">
              <w:rPr>
                <w:rFonts w:ascii="Arial" w:hAnsi="Arial" w:cs="Arial"/>
              </w:rPr>
              <w:t>Descrição</w:t>
            </w:r>
          </w:p>
        </w:tc>
      </w:tr>
      <w:tr w:rsidR="00A37036" w:rsidRPr="00370F1F" w14:paraId="1BF21CF3" w14:textId="77777777" w:rsidTr="00495CBB">
        <w:tc>
          <w:tcPr>
            <w:tcW w:w="1128" w:type="dxa"/>
            <w:tcBorders>
              <w:top w:val="single" w:sz="4" w:space="0" w:color="auto"/>
            </w:tcBorders>
            <w:vAlign w:val="center"/>
          </w:tcPr>
          <w:p w14:paraId="56F1244D" w14:textId="33BA4F1E" w:rsidR="00A37036" w:rsidRPr="00370F1F" w:rsidRDefault="00A37036" w:rsidP="00495CBB">
            <w:pPr>
              <w:rPr>
                <w:rFonts w:ascii="Arial" w:hAnsi="Arial" w:cs="Arial"/>
                <w:i/>
                <w:iCs/>
              </w:rPr>
            </w:pPr>
            <w:r w:rsidRPr="00370F1F">
              <w:rPr>
                <w:rFonts w:ascii="Arial" w:hAnsi="Arial" w:cs="Arial"/>
                <w:i/>
                <w:iCs/>
              </w:rPr>
              <w:t>I_1</w:t>
            </w:r>
          </w:p>
        </w:tc>
        <w:tc>
          <w:tcPr>
            <w:tcW w:w="1633" w:type="dxa"/>
            <w:tcBorders>
              <w:top w:val="single" w:sz="4" w:space="0" w:color="auto"/>
            </w:tcBorders>
            <w:vAlign w:val="center"/>
          </w:tcPr>
          <w:p w14:paraId="7C0A7BB4" w14:textId="373D837B" w:rsidR="00A37036" w:rsidRPr="00370F1F" w:rsidRDefault="00A37036" w:rsidP="00495CBB">
            <w:pPr>
              <w:rPr>
                <w:rFonts w:ascii="Arial" w:hAnsi="Arial" w:cs="Arial"/>
              </w:rPr>
            </w:pPr>
            <w:r w:rsidRPr="00370F1F">
              <w:rPr>
                <w:rFonts w:ascii="Arial" w:hAnsi="Arial" w:cs="Arial"/>
              </w:rPr>
              <w:t>Receita Local</w:t>
            </w:r>
          </w:p>
        </w:tc>
        <w:tc>
          <w:tcPr>
            <w:tcW w:w="5737" w:type="dxa"/>
            <w:tcBorders>
              <w:top w:val="single" w:sz="4" w:space="0" w:color="auto"/>
            </w:tcBorders>
          </w:tcPr>
          <w:p w14:paraId="4C469AED" w14:textId="77777777" w:rsidR="00A37036" w:rsidRPr="00370F1F" w:rsidRDefault="00A37036" w:rsidP="00495CBB">
            <w:pPr>
              <w:jc w:val="both"/>
              <w:rPr>
                <w:rFonts w:ascii="Arial" w:hAnsi="Arial" w:cs="Arial"/>
              </w:rPr>
            </w:pPr>
            <w:r w:rsidRPr="00370F1F">
              <w:rPr>
                <w:rFonts w:ascii="Arial" w:hAnsi="Arial" w:cs="Arial"/>
              </w:rPr>
              <w:t>Definido para cada Estado como a relação entre a receita do governo local e a receita total da região geográfica. Desconsideradas as transferências que possuam vinculação.</w:t>
            </w:r>
          </w:p>
          <w:p w14:paraId="4EFEB1A6" w14:textId="6BC3A966" w:rsidR="002C1F10" w:rsidRPr="00370F1F" w:rsidRDefault="002C1F10" w:rsidP="00495CBB">
            <w:pPr>
              <w:jc w:val="both"/>
              <w:rPr>
                <w:rFonts w:ascii="Arial" w:hAnsi="Arial" w:cs="Arial"/>
              </w:rPr>
            </w:pPr>
          </w:p>
        </w:tc>
      </w:tr>
      <w:tr w:rsidR="00A37036" w:rsidRPr="00370F1F" w14:paraId="060FCC09" w14:textId="77777777" w:rsidTr="00495CBB">
        <w:tc>
          <w:tcPr>
            <w:tcW w:w="1128" w:type="dxa"/>
            <w:vAlign w:val="center"/>
          </w:tcPr>
          <w:p w14:paraId="324D627B" w14:textId="045612A0" w:rsidR="00A37036" w:rsidRPr="00370F1F" w:rsidRDefault="002C1F10" w:rsidP="00495CBB">
            <w:pPr>
              <w:rPr>
                <w:rFonts w:ascii="Arial" w:hAnsi="Arial" w:cs="Arial"/>
                <w:i/>
                <w:iCs/>
              </w:rPr>
            </w:pPr>
            <w:r w:rsidRPr="00370F1F">
              <w:rPr>
                <w:rFonts w:ascii="Arial" w:hAnsi="Arial" w:cs="Arial"/>
                <w:i/>
                <w:iCs/>
              </w:rPr>
              <w:t>I_2</w:t>
            </w:r>
          </w:p>
        </w:tc>
        <w:tc>
          <w:tcPr>
            <w:tcW w:w="1633" w:type="dxa"/>
            <w:vAlign w:val="center"/>
          </w:tcPr>
          <w:p w14:paraId="5DC7D81B" w14:textId="3F1AB41A" w:rsidR="00A37036" w:rsidRPr="00370F1F" w:rsidRDefault="002C1F10" w:rsidP="00495CBB">
            <w:pPr>
              <w:rPr>
                <w:rFonts w:ascii="Arial" w:hAnsi="Arial" w:cs="Arial"/>
              </w:rPr>
            </w:pPr>
            <w:r w:rsidRPr="00370F1F">
              <w:rPr>
                <w:rFonts w:ascii="Arial" w:hAnsi="Arial" w:cs="Arial"/>
              </w:rPr>
              <w:t>Despesa Local</w:t>
            </w:r>
          </w:p>
        </w:tc>
        <w:tc>
          <w:tcPr>
            <w:tcW w:w="5737" w:type="dxa"/>
          </w:tcPr>
          <w:p w14:paraId="124440C7" w14:textId="77777777" w:rsidR="00A37036" w:rsidRPr="00370F1F" w:rsidRDefault="002C1F10" w:rsidP="00495CBB">
            <w:pPr>
              <w:jc w:val="both"/>
              <w:rPr>
                <w:rFonts w:ascii="Arial" w:hAnsi="Arial" w:cs="Arial"/>
              </w:rPr>
            </w:pPr>
            <w:r w:rsidRPr="00370F1F">
              <w:rPr>
                <w:rFonts w:ascii="Arial" w:hAnsi="Arial" w:cs="Arial"/>
              </w:rPr>
              <w:t>Definido para cada Estado como a relação entre a despesa do governo local com a despesa total da região geográfica. Considera despesa total.</w:t>
            </w:r>
          </w:p>
          <w:p w14:paraId="49C0D748" w14:textId="4BB24D17" w:rsidR="002C1F10" w:rsidRPr="00370F1F" w:rsidRDefault="002C1F10" w:rsidP="00495CBB">
            <w:pPr>
              <w:jc w:val="both"/>
              <w:rPr>
                <w:rFonts w:ascii="Arial" w:hAnsi="Arial" w:cs="Arial"/>
              </w:rPr>
            </w:pPr>
          </w:p>
        </w:tc>
      </w:tr>
      <w:tr w:rsidR="00C80D4B" w:rsidRPr="00370F1F" w14:paraId="500684CD" w14:textId="77777777" w:rsidTr="00495CBB">
        <w:tc>
          <w:tcPr>
            <w:tcW w:w="1128" w:type="dxa"/>
            <w:vAlign w:val="center"/>
          </w:tcPr>
          <w:p w14:paraId="271337CF" w14:textId="78405441" w:rsidR="00A37036" w:rsidRPr="00370F1F" w:rsidRDefault="002C1F10" w:rsidP="00495CBB">
            <w:pPr>
              <w:rPr>
                <w:rFonts w:ascii="Arial" w:hAnsi="Arial" w:cs="Arial"/>
                <w:i/>
                <w:iCs/>
              </w:rPr>
            </w:pPr>
            <w:r w:rsidRPr="00370F1F">
              <w:rPr>
                <w:rFonts w:ascii="Arial" w:hAnsi="Arial" w:cs="Arial"/>
                <w:i/>
                <w:iCs/>
              </w:rPr>
              <w:t>I_3</w:t>
            </w:r>
          </w:p>
        </w:tc>
        <w:tc>
          <w:tcPr>
            <w:tcW w:w="1633" w:type="dxa"/>
            <w:vAlign w:val="center"/>
          </w:tcPr>
          <w:p w14:paraId="2750BF11" w14:textId="7182477A" w:rsidR="00A37036" w:rsidRPr="00370F1F" w:rsidRDefault="002C1F10" w:rsidP="00495CBB">
            <w:pPr>
              <w:rPr>
                <w:rFonts w:ascii="Arial" w:hAnsi="Arial" w:cs="Arial"/>
              </w:rPr>
            </w:pPr>
            <w:r w:rsidRPr="00370F1F">
              <w:rPr>
                <w:rFonts w:ascii="Arial" w:hAnsi="Arial" w:cs="Arial"/>
              </w:rPr>
              <w:t>Autonomia</w:t>
            </w:r>
          </w:p>
        </w:tc>
        <w:tc>
          <w:tcPr>
            <w:tcW w:w="5737" w:type="dxa"/>
          </w:tcPr>
          <w:p w14:paraId="44986395" w14:textId="77777777" w:rsidR="00A37036" w:rsidRPr="00370F1F" w:rsidRDefault="002C1F10" w:rsidP="00495CBB">
            <w:pPr>
              <w:jc w:val="both"/>
              <w:rPr>
                <w:rFonts w:ascii="Arial" w:hAnsi="Arial" w:cs="Arial"/>
              </w:rPr>
            </w:pPr>
            <w:r w:rsidRPr="00370F1F">
              <w:rPr>
                <w:rFonts w:ascii="Arial" w:hAnsi="Arial" w:cs="Arial"/>
              </w:rPr>
              <w:t>Medida do grau de independência fiscal do governo local, é a relação entre a receita própria do governo local e sua receita total.</w:t>
            </w:r>
          </w:p>
          <w:p w14:paraId="31BA3816" w14:textId="5F75C877" w:rsidR="002C1F10" w:rsidRPr="00370F1F" w:rsidRDefault="002C1F10" w:rsidP="00495CBB">
            <w:pPr>
              <w:jc w:val="both"/>
              <w:rPr>
                <w:rFonts w:ascii="Arial" w:hAnsi="Arial" w:cs="Arial"/>
              </w:rPr>
            </w:pPr>
          </w:p>
        </w:tc>
      </w:tr>
      <w:tr w:rsidR="00A37036" w:rsidRPr="00370F1F" w14:paraId="17CFF9E9" w14:textId="77777777" w:rsidTr="00495CBB">
        <w:tc>
          <w:tcPr>
            <w:tcW w:w="1128" w:type="dxa"/>
            <w:tcBorders>
              <w:bottom w:val="single" w:sz="4" w:space="0" w:color="auto"/>
            </w:tcBorders>
            <w:vAlign w:val="center"/>
          </w:tcPr>
          <w:p w14:paraId="25217A07" w14:textId="3C1481D3" w:rsidR="00A37036" w:rsidRPr="00370F1F" w:rsidRDefault="002C1F10" w:rsidP="00495CBB">
            <w:pPr>
              <w:rPr>
                <w:rFonts w:ascii="Arial" w:hAnsi="Arial" w:cs="Arial"/>
                <w:i/>
                <w:iCs/>
              </w:rPr>
            </w:pPr>
            <w:r w:rsidRPr="00370F1F">
              <w:rPr>
                <w:rFonts w:ascii="Arial" w:hAnsi="Arial" w:cs="Arial"/>
                <w:i/>
                <w:iCs/>
              </w:rPr>
              <w:t>I_4</w:t>
            </w:r>
          </w:p>
        </w:tc>
        <w:tc>
          <w:tcPr>
            <w:tcW w:w="1633" w:type="dxa"/>
            <w:tcBorders>
              <w:bottom w:val="single" w:sz="4" w:space="0" w:color="auto"/>
            </w:tcBorders>
            <w:vAlign w:val="center"/>
          </w:tcPr>
          <w:p w14:paraId="105311F2" w14:textId="009849E4" w:rsidR="00A37036" w:rsidRPr="00370F1F" w:rsidRDefault="002C1F10" w:rsidP="00495CBB">
            <w:pPr>
              <w:rPr>
                <w:rFonts w:ascii="Arial" w:hAnsi="Arial" w:cs="Arial"/>
              </w:rPr>
            </w:pPr>
            <w:r w:rsidRPr="00370F1F">
              <w:rPr>
                <w:rFonts w:ascii="Arial" w:hAnsi="Arial" w:cs="Arial"/>
              </w:rPr>
              <w:t>Receita Despesa</w:t>
            </w:r>
          </w:p>
        </w:tc>
        <w:tc>
          <w:tcPr>
            <w:tcW w:w="5737" w:type="dxa"/>
            <w:tcBorders>
              <w:bottom w:val="single" w:sz="4" w:space="0" w:color="auto"/>
            </w:tcBorders>
          </w:tcPr>
          <w:p w14:paraId="5DE43B9E" w14:textId="3AA4BC80" w:rsidR="00A37036" w:rsidRPr="00370F1F" w:rsidRDefault="002C1F10" w:rsidP="00495CBB">
            <w:pPr>
              <w:jc w:val="both"/>
              <w:rPr>
                <w:rFonts w:ascii="Arial" w:hAnsi="Arial" w:cs="Arial"/>
              </w:rPr>
            </w:pPr>
            <w:r w:rsidRPr="00370F1F">
              <w:rPr>
                <w:rFonts w:ascii="Arial" w:hAnsi="Arial" w:cs="Arial"/>
              </w:rPr>
              <w:t>Representa uma medida de descentralização que incorpora as parcelas de receita e despesa, é a média dos indicadores 1 e 2.</w:t>
            </w:r>
          </w:p>
        </w:tc>
      </w:tr>
    </w:tbl>
    <w:p w14:paraId="787547FF" w14:textId="77777777" w:rsidR="00A37036" w:rsidRDefault="00A37036" w:rsidP="00BA02AF"/>
    <w:p w14:paraId="2CD7D9C1" w14:textId="77467493" w:rsidR="00BF55D6" w:rsidRDefault="00C80D4B" w:rsidP="00C80D4B">
      <w:pPr>
        <w:spacing w:line="360" w:lineRule="auto"/>
        <w:jc w:val="both"/>
        <w:rPr>
          <w:rFonts w:ascii="Arial" w:hAnsi="Arial" w:cs="Arial"/>
        </w:rPr>
      </w:pPr>
      <w:r w:rsidRPr="00370F1F">
        <w:rPr>
          <w:rFonts w:ascii="Arial" w:hAnsi="Arial" w:cs="Arial"/>
        </w:rPr>
        <w:tab/>
      </w:r>
      <w:r w:rsidR="00BF55D6">
        <w:rPr>
          <w:rFonts w:ascii="Arial" w:hAnsi="Arial" w:cs="Arial"/>
        </w:rPr>
        <w:t>O indicador de receita local é uma medida aproximada da alocação de autoridade que o governo local tem sobre a alocação de sua receita própria.</w:t>
      </w:r>
    </w:p>
    <w:p w14:paraId="124FDC6D" w14:textId="24802B43" w:rsidR="00BF55D6" w:rsidRDefault="00BF55D6" w:rsidP="00C80D4B">
      <w:pPr>
        <w:spacing w:line="360" w:lineRule="auto"/>
        <w:jc w:val="both"/>
        <w:rPr>
          <w:rFonts w:ascii="Arial" w:hAnsi="Arial" w:cs="Arial"/>
        </w:rPr>
      </w:pPr>
      <w:r>
        <w:rPr>
          <w:rFonts w:ascii="Arial" w:hAnsi="Arial" w:cs="Arial"/>
        </w:rPr>
        <w:tab/>
        <w:t>O indicador de despesa local é uma medida da autoridade do governo local sobre seus gastos.</w:t>
      </w:r>
    </w:p>
    <w:p w14:paraId="31B1A271" w14:textId="3ADE8DF8" w:rsidR="00BF55D6" w:rsidRDefault="00BF55D6" w:rsidP="00C80D4B">
      <w:pPr>
        <w:spacing w:line="360" w:lineRule="auto"/>
        <w:jc w:val="both"/>
        <w:rPr>
          <w:rFonts w:ascii="Arial" w:hAnsi="Arial" w:cs="Arial"/>
        </w:rPr>
      </w:pPr>
      <w:r>
        <w:rPr>
          <w:rFonts w:ascii="Arial" w:hAnsi="Arial" w:cs="Arial"/>
        </w:rPr>
        <w:tab/>
        <w:t>O indicador de autonomia como medida do grau de independência fiscal do governo local.</w:t>
      </w:r>
    </w:p>
    <w:p w14:paraId="6F9F3E1B" w14:textId="0286C2AE" w:rsidR="00BF55D6" w:rsidRDefault="00BF55D6" w:rsidP="00C80D4B">
      <w:pPr>
        <w:spacing w:line="360" w:lineRule="auto"/>
        <w:jc w:val="both"/>
        <w:rPr>
          <w:rFonts w:ascii="Arial" w:hAnsi="Arial" w:cs="Arial"/>
        </w:rPr>
      </w:pPr>
      <w:r>
        <w:rPr>
          <w:rFonts w:ascii="Arial" w:hAnsi="Arial" w:cs="Arial"/>
        </w:rPr>
        <w:tab/>
        <w:t>E por fim, o indicador receita despesa</w:t>
      </w:r>
      <w:r w:rsidR="00AD50E4">
        <w:rPr>
          <w:rFonts w:ascii="Arial" w:hAnsi="Arial" w:cs="Arial"/>
        </w:rPr>
        <w:t xml:space="preserve"> </w:t>
      </w:r>
      <w:r w:rsidR="00B33D61">
        <w:rPr>
          <w:rFonts w:ascii="Arial" w:hAnsi="Arial" w:cs="Arial"/>
        </w:rPr>
        <w:t>q</w:t>
      </w:r>
      <w:r w:rsidR="00AD50E4">
        <w:rPr>
          <w:rFonts w:ascii="Arial" w:hAnsi="Arial" w:cs="Arial"/>
        </w:rPr>
        <w:t>ue representa a medida de descentralização que incorpora ambas parcelas de receita e gasto.</w:t>
      </w:r>
    </w:p>
    <w:p w14:paraId="4D7E12E4" w14:textId="28BB19C1" w:rsidR="00C80D4B" w:rsidRPr="00B33D61" w:rsidRDefault="00C80D4B" w:rsidP="00370F1F">
      <w:pPr>
        <w:spacing w:line="360" w:lineRule="auto"/>
        <w:ind w:firstLine="708"/>
        <w:jc w:val="both"/>
        <w:rPr>
          <w:rFonts w:ascii="Arial" w:hAnsi="Arial" w:cs="Arial"/>
        </w:rPr>
      </w:pPr>
      <w:r w:rsidRPr="00370F1F">
        <w:rPr>
          <w:rFonts w:ascii="Arial" w:hAnsi="Arial" w:cs="Arial"/>
        </w:rPr>
        <w:t xml:space="preserve">Os indicadores descritos foram calculados a partir de informações obtidas da Secretaria do Tesouro Nacional – STN. Ela é </w:t>
      </w:r>
      <w:r w:rsidRPr="00C80D4B">
        <w:rPr>
          <w:rFonts w:ascii="Arial" w:hAnsi="Arial" w:cs="Arial"/>
        </w:rPr>
        <w:t>responsável pelo Programa de Re</w:t>
      </w:r>
      <w:r w:rsidRPr="00BF55D6">
        <w:rPr>
          <w:rFonts w:ascii="Arial" w:hAnsi="Arial" w:cs="Arial"/>
        </w:rPr>
        <w:t xml:space="preserve">estruturação e de Ajuste Fiscal – PAF. No âmbito deste programa, os estados fornecem informações fiscais que são auditadas e ajustadas de acordo com a metodologia. Este é um aspecto importante da base de dados, pois como os dados são ajustados segundo uma metodologia uniforme, são comparáveis e não estão sujeitos a peculiaridades </w:t>
      </w:r>
      <w:r w:rsidRPr="00B33D61">
        <w:rPr>
          <w:rFonts w:ascii="Arial" w:hAnsi="Arial" w:cs="Arial"/>
        </w:rPr>
        <w:t>no registro contábil de cada estado.</w:t>
      </w:r>
    </w:p>
    <w:p w14:paraId="0FC4DCAF" w14:textId="260A7801" w:rsidR="00523A0F" w:rsidRDefault="00C80D4B" w:rsidP="00370F1F">
      <w:pPr>
        <w:spacing w:line="360" w:lineRule="auto"/>
        <w:rPr>
          <w:rFonts w:ascii="Arial" w:hAnsi="Arial" w:cs="Arial"/>
        </w:rPr>
      </w:pPr>
      <w:r w:rsidRPr="00B33D61">
        <w:rPr>
          <w:rFonts w:ascii="Arial" w:hAnsi="Arial" w:cs="Arial"/>
        </w:rPr>
        <w:lastRenderedPageBreak/>
        <w:tab/>
        <w:t xml:space="preserve">A base de dados obtida abrange o período de 1995 a 2016. Em 2017 </w:t>
      </w:r>
      <w:r w:rsidR="00A0452B">
        <w:rPr>
          <w:rFonts w:ascii="Arial" w:hAnsi="Arial" w:cs="Arial"/>
        </w:rPr>
        <w:t>o PAF foi reestruturado</w:t>
      </w:r>
      <w:r w:rsidRPr="00B33D61">
        <w:rPr>
          <w:rFonts w:ascii="Arial" w:hAnsi="Arial" w:cs="Arial"/>
        </w:rPr>
        <w:t>, assim, houve uma ruptura metodológica e por isso as informações de 2017</w:t>
      </w:r>
      <w:r w:rsidR="00AD50E4">
        <w:rPr>
          <w:rFonts w:ascii="Arial" w:hAnsi="Arial" w:cs="Arial"/>
        </w:rPr>
        <w:t xml:space="preserve"> em diante</w:t>
      </w:r>
      <w:r w:rsidRPr="00AD50E4">
        <w:rPr>
          <w:rFonts w:ascii="Arial" w:hAnsi="Arial" w:cs="Arial"/>
        </w:rPr>
        <w:t xml:space="preserve"> não comporão a base de dados.</w:t>
      </w:r>
    </w:p>
    <w:p w14:paraId="7AAA97E6" w14:textId="77777777" w:rsidR="00523A0F" w:rsidRDefault="00523A0F">
      <w:pPr>
        <w:rPr>
          <w:rFonts w:ascii="Arial" w:hAnsi="Arial" w:cs="Arial"/>
        </w:rPr>
      </w:pPr>
      <w:r>
        <w:rPr>
          <w:rFonts w:ascii="Arial" w:hAnsi="Arial" w:cs="Arial"/>
        </w:rPr>
        <w:br w:type="page"/>
      </w:r>
    </w:p>
    <w:p w14:paraId="5C073252" w14:textId="53ED75B7" w:rsidR="007419FD" w:rsidRPr="006140C8" w:rsidRDefault="00BA02AF" w:rsidP="00802836">
      <w:pPr>
        <w:pStyle w:val="Ttulo"/>
      </w:pPr>
      <w:bookmarkStart w:id="12" w:name="_Toc16492064"/>
      <w:r>
        <w:t>4</w:t>
      </w:r>
      <w:r w:rsidR="003A0662" w:rsidRPr="006140C8">
        <w:t xml:space="preserve">. </w:t>
      </w:r>
      <w:r w:rsidR="007419FD" w:rsidRPr="006140C8">
        <w:t>Metodologia</w:t>
      </w:r>
      <w:bookmarkEnd w:id="12"/>
    </w:p>
    <w:p w14:paraId="1B225041" w14:textId="77777777" w:rsidR="007419FD" w:rsidRDefault="007419FD" w:rsidP="007419FD">
      <w:pPr>
        <w:spacing w:line="360" w:lineRule="auto"/>
        <w:jc w:val="both"/>
        <w:rPr>
          <w:rFonts w:ascii="Arial" w:hAnsi="Arial" w:cs="Arial"/>
        </w:rPr>
      </w:pPr>
    </w:p>
    <w:p w14:paraId="378934C8" w14:textId="774D5130" w:rsidR="004D3CFE" w:rsidRDefault="008B4F62" w:rsidP="00370F1F">
      <w:pPr>
        <w:tabs>
          <w:tab w:val="left" w:pos="708"/>
          <w:tab w:val="left" w:pos="1160"/>
        </w:tabs>
        <w:spacing w:line="360" w:lineRule="auto"/>
        <w:jc w:val="both"/>
        <w:rPr>
          <w:rFonts w:ascii="Arial" w:hAnsi="Arial" w:cs="Arial"/>
        </w:rPr>
      </w:pPr>
      <w:r>
        <w:rPr>
          <w:rFonts w:ascii="Arial" w:hAnsi="Arial" w:cs="Arial"/>
        </w:rPr>
        <w:tab/>
      </w:r>
      <w:r w:rsidR="00813C71">
        <w:rPr>
          <w:rFonts w:ascii="Arial" w:hAnsi="Arial" w:cs="Arial"/>
        </w:rPr>
        <w:t xml:space="preserve">A partir dos dados obtidos para este trabalho, pretende-se aplicar uma metodologia de </w:t>
      </w:r>
      <w:r w:rsidR="005B2786">
        <w:rPr>
          <w:rFonts w:ascii="Arial" w:hAnsi="Arial" w:cs="Arial"/>
        </w:rPr>
        <w:t xml:space="preserve">econometria de </w:t>
      </w:r>
      <w:r w:rsidR="00813C71">
        <w:rPr>
          <w:rFonts w:ascii="Arial" w:hAnsi="Arial" w:cs="Arial"/>
        </w:rPr>
        <w:t xml:space="preserve">dados em painel para estudar a influência dos indicadores elaborados na variação do Produto Interno Bruto </w:t>
      </w:r>
      <w:r w:rsidR="00813C71">
        <w:rPr>
          <w:rFonts w:ascii="Arial" w:hAnsi="Arial" w:cs="Arial"/>
          <w:i/>
          <w:iCs/>
        </w:rPr>
        <w:t>per capita</w:t>
      </w:r>
      <w:r w:rsidR="00813C71">
        <w:rPr>
          <w:rFonts w:ascii="Arial" w:hAnsi="Arial" w:cs="Arial"/>
        </w:rPr>
        <w:t xml:space="preserve"> no período estudado. Para isto, algumas considerações devem ser feitas.</w:t>
      </w:r>
    </w:p>
    <w:p w14:paraId="3C7A15AC" w14:textId="0373D2F7" w:rsidR="00813C71" w:rsidRDefault="00813C71" w:rsidP="00370F1F">
      <w:pPr>
        <w:tabs>
          <w:tab w:val="left" w:pos="708"/>
          <w:tab w:val="left" w:pos="1160"/>
        </w:tabs>
        <w:spacing w:line="360" w:lineRule="auto"/>
        <w:jc w:val="both"/>
        <w:rPr>
          <w:rFonts w:ascii="Arial" w:hAnsi="Arial" w:cs="Arial"/>
        </w:rPr>
      </w:pPr>
      <w:r>
        <w:rPr>
          <w:rFonts w:ascii="Arial" w:hAnsi="Arial" w:cs="Arial"/>
        </w:rPr>
        <w:tab/>
        <w:t>Em primeiro lugar, os Estados serão agrupados de acordo com sua macrorregião geográfica, isto é necessário para que as diferenças culturais e socioeconômicas sejam minimizadas em cada grupo de estudo, assim, serão cinco conjuntos de dados referentes às regiões Norte, Nordeste, Centro-Oeste, Sudeste e Sul. Para cada conjunto de dados será feita uma análise econométrica e seus resultados analisados individualmente.</w:t>
      </w:r>
    </w:p>
    <w:p w14:paraId="0D710D20" w14:textId="587877FF" w:rsidR="00813C71" w:rsidRDefault="00813C71" w:rsidP="00370F1F">
      <w:pPr>
        <w:tabs>
          <w:tab w:val="left" w:pos="708"/>
          <w:tab w:val="left" w:pos="1160"/>
        </w:tabs>
        <w:spacing w:line="360" w:lineRule="auto"/>
        <w:jc w:val="both"/>
        <w:rPr>
          <w:rFonts w:ascii="Arial" w:hAnsi="Arial" w:cs="Arial"/>
        </w:rPr>
      </w:pPr>
      <w:r>
        <w:rPr>
          <w:rFonts w:ascii="Arial" w:hAnsi="Arial" w:cs="Arial"/>
        </w:rPr>
        <w:tab/>
        <w:t xml:space="preserve">O crescimento econômico será medido por meio da variação do PIB real </w:t>
      </w:r>
      <w:r>
        <w:rPr>
          <w:rFonts w:ascii="Arial" w:hAnsi="Arial" w:cs="Arial"/>
          <w:i/>
          <w:iCs/>
        </w:rPr>
        <w:t>per capita</w:t>
      </w:r>
      <w:r>
        <w:rPr>
          <w:rFonts w:ascii="Arial" w:hAnsi="Arial" w:cs="Arial"/>
        </w:rPr>
        <w:t xml:space="preserve">, para tanto, os valores da série original do PIB foram deflacionados para valores de dezembro de 2016 pela variação do </w:t>
      </w:r>
      <w:r w:rsidR="005B51EC">
        <w:rPr>
          <w:rFonts w:ascii="Arial" w:hAnsi="Arial" w:cs="Arial"/>
        </w:rPr>
        <w:t>Índice de Preços ao Consumidor Amplo – IPCA, do Instituto Brasileiro de Geografia e Estatística. Desta forma, tem-se a segurança de que as medidas de crescimento são consistentes.</w:t>
      </w:r>
    </w:p>
    <w:p w14:paraId="20A069C0" w14:textId="53A3E45F" w:rsidR="005B51EC" w:rsidRDefault="005B51EC" w:rsidP="00370F1F">
      <w:pPr>
        <w:tabs>
          <w:tab w:val="left" w:pos="708"/>
          <w:tab w:val="left" w:pos="1160"/>
        </w:tabs>
        <w:spacing w:line="360" w:lineRule="auto"/>
        <w:jc w:val="both"/>
        <w:rPr>
          <w:rFonts w:ascii="Arial" w:hAnsi="Arial" w:cs="Arial"/>
        </w:rPr>
      </w:pPr>
    </w:p>
    <w:p w14:paraId="43EEC58F" w14:textId="57C9BDF4" w:rsidR="005B51EC" w:rsidRPr="006140C8" w:rsidRDefault="005B51EC" w:rsidP="00802836">
      <w:pPr>
        <w:pStyle w:val="Subttulo"/>
      </w:pPr>
      <w:bookmarkStart w:id="13" w:name="_Toc16492065"/>
      <w:r w:rsidRPr="006140C8">
        <w:t>4.1 Modelo a ser utilizado</w:t>
      </w:r>
      <w:bookmarkEnd w:id="13"/>
    </w:p>
    <w:p w14:paraId="517D0327" w14:textId="2CCA90D0" w:rsidR="005B51EC" w:rsidRDefault="005B51EC" w:rsidP="00370F1F">
      <w:pPr>
        <w:tabs>
          <w:tab w:val="left" w:pos="708"/>
          <w:tab w:val="left" w:pos="1160"/>
        </w:tabs>
        <w:spacing w:line="360" w:lineRule="auto"/>
        <w:jc w:val="both"/>
        <w:rPr>
          <w:rFonts w:ascii="Arial" w:hAnsi="Arial" w:cs="Arial"/>
        </w:rPr>
      </w:pPr>
    </w:p>
    <w:p w14:paraId="72225267" w14:textId="21D86A12" w:rsidR="00802836" w:rsidRDefault="00802836" w:rsidP="00370F1F">
      <w:pPr>
        <w:tabs>
          <w:tab w:val="left" w:pos="708"/>
          <w:tab w:val="left" w:pos="1160"/>
        </w:tabs>
        <w:spacing w:line="360" w:lineRule="auto"/>
        <w:jc w:val="both"/>
        <w:rPr>
          <w:rFonts w:ascii="Arial" w:hAnsi="Arial" w:cs="Arial"/>
        </w:rPr>
      </w:pPr>
      <w:r>
        <w:rPr>
          <w:rFonts w:ascii="Arial" w:hAnsi="Arial" w:cs="Arial"/>
        </w:rPr>
        <w:tab/>
        <w:t>A estratégia empírica a ser utilizada neste estudo visa estimar o seguinte modelo econométrico:</w:t>
      </w:r>
    </w:p>
    <w:p w14:paraId="011CAFCC" w14:textId="77777777" w:rsidR="00EC41F0" w:rsidRPr="00813C71" w:rsidRDefault="00EC41F0" w:rsidP="00370F1F">
      <w:pPr>
        <w:tabs>
          <w:tab w:val="left" w:pos="708"/>
          <w:tab w:val="left" w:pos="1160"/>
        </w:tabs>
        <w:spacing w:line="360" w:lineRule="auto"/>
        <w:jc w:val="both"/>
        <w:rPr>
          <w:rFonts w:ascii="Arial" w:hAnsi="Arial" w:cs="Arial"/>
        </w:rPr>
      </w:pPr>
    </w:p>
    <w:p w14:paraId="752B1E96" w14:textId="1EF94D67" w:rsidR="005B51EC" w:rsidRPr="00DC0294" w:rsidRDefault="00370F1F" w:rsidP="00D94D11">
      <w:pPr>
        <w:keepNext/>
        <w:tabs>
          <w:tab w:val="left" w:pos="708"/>
          <w:tab w:val="left" w:pos="1160"/>
        </w:tabs>
        <w:spacing w:line="360" w:lineRule="auto"/>
        <w:jc w:val="right"/>
        <w:rPr>
          <w:rFonts w:ascii="Arial" w:eastAsiaTheme="minorEastAsia" w:hAnsi="Arial" w:cs="Arial"/>
        </w:rPr>
      </w:pPr>
      <m:oMath>
        <m:r>
          <w:rPr>
            <w:rFonts w:ascii="Cambria Math" w:hAnsi="Cambria Math"/>
          </w:rPr>
          <m:t>∆</m:t>
        </m:r>
        <m:sSub>
          <m:sSubPr>
            <m:ctrlPr>
              <w:rPr>
                <w:rFonts w:ascii="Cambria Math" w:hAnsi="Cambria Math"/>
                <w:i/>
              </w:rPr>
            </m:ctrlPr>
          </m:sSubPr>
          <m:e>
            <m:r>
              <w:rPr>
                <w:rFonts w:ascii="Cambria Math" w:hAnsi="Cambria Math"/>
              </w:rPr>
              <m:t>PIB</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i1</m:t>
            </m:r>
          </m:sub>
        </m:sSub>
        <m:sSub>
          <m:sSubPr>
            <m:ctrlPr>
              <w:rPr>
                <w:rFonts w:ascii="Cambria Math" w:hAnsi="Cambria Math"/>
                <w:i/>
              </w:rPr>
            </m:ctrlPr>
          </m:sSubPr>
          <m:e>
            <m:r>
              <w:rPr>
                <w:rFonts w:ascii="Cambria Math" w:hAnsi="Cambria Math"/>
              </w:rPr>
              <m:t>I</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β+</m:t>
        </m:r>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i=1, …, 27</m:t>
        </m:r>
      </m:oMath>
      <w:r w:rsidR="005B2786">
        <w:rPr>
          <w:rFonts w:ascii="Arial" w:eastAsiaTheme="minorEastAsia" w:hAnsi="Arial" w:cs="Arial"/>
        </w:rPr>
        <w:t xml:space="preserve">                                            </w:t>
      </w:r>
      <w:r w:rsidR="00DC0294">
        <w:rPr>
          <w:rFonts w:ascii="Arial" w:eastAsiaTheme="minorEastAsia" w:hAnsi="Arial" w:cs="Arial"/>
        </w:rPr>
        <w:t>(1)</w:t>
      </w:r>
    </w:p>
    <w:p w14:paraId="6854F886" w14:textId="77777777" w:rsidR="00DC0294" w:rsidRDefault="00DC0294" w:rsidP="007419FD">
      <w:pPr>
        <w:spacing w:line="360" w:lineRule="auto"/>
        <w:jc w:val="both"/>
        <w:rPr>
          <w:rFonts w:ascii="Arial" w:hAnsi="Arial" w:cs="Arial"/>
        </w:rPr>
      </w:pPr>
    </w:p>
    <w:p w14:paraId="1C6FB98F" w14:textId="1E20B88F" w:rsidR="005B51EC" w:rsidRDefault="005B51EC" w:rsidP="007419FD">
      <w:pPr>
        <w:spacing w:line="360" w:lineRule="auto"/>
        <w:jc w:val="both"/>
        <w:rPr>
          <w:rFonts w:ascii="Arial" w:eastAsiaTheme="minorEastAsia" w:hAnsi="Arial" w:cs="Arial"/>
        </w:rPr>
      </w:pPr>
      <w:r>
        <w:rPr>
          <w:rFonts w:ascii="Arial" w:hAnsi="Arial" w:cs="Arial"/>
        </w:rPr>
        <w:t>Onde:</w:t>
      </w:r>
      <w:r>
        <w:rPr>
          <w:rFonts w:ascii="Arial" w:hAnsi="Arial" w:cs="Arial"/>
        </w:rPr>
        <w:tab/>
      </w:r>
      <w:r>
        <w:rPr>
          <w:rFonts w:ascii="Arial" w:hAnsi="Arial" w:cs="Arial"/>
        </w:rPr>
        <w:tab/>
      </w:r>
      <m:oMath>
        <m:r>
          <w:rPr>
            <w:rFonts w:ascii="Cambria Math" w:hAnsi="Cambria Math"/>
          </w:rPr>
          <m:t>∆</m:t>
        </m:r>
        <m:sSub>
          <m:sSubPr>
            <m:ctrlPr>
              <w:rPr>
                <w:rFonts w:ascii="Cambria Math" w:hAnsi="Cambria Math"/>
                <w:i/>
              </w:rPr>
            </m:ctrlPr>
          </m:sSubPr>
          <m:e>
            <m:r>
              <w:rPr>
                <w:rFonts w:ascii="Cambria Math" w:hAnsi="Cambria Math"/>
              </w:rPr>
              <m:t>PIB</m:t>
            </m:r>
          </m:e>
          <m:sub>
            <m:r>
              <w:rPr>
                <w:rFonts w:ascii="Cambria Math" w:hAnsi="Cambria Math"/>
              </w:rPr>
              <m:t>it</m:t>
            </m:r>
          </m:sub>
        </m:sSub>
      </m:oMath>
      <w:r>
        <w:rPr>
          <w:rFonts w:ascii="Arial" w:eastAsiaTheme="minorEastAsia" w:hAnsi="Arial" w:cs="Arial"/>
        </w:rPr>
        <w:t xml:space="preserve"> é a variação real do PIB </w:t>
      </w:r>
      <w:r>
        <w:rPr>
          <w:rFonts w:ascii="Arial" w:eastAsiaTheme="minorEastAsia" w:hAnsi="Arial" w:cs="Arial"/>
          <w:i/>
          <w:iCs/>
        </w:rPr>
        <w:t>per capita</w:t>
      </w:r>
      <w:r>
        <w:rPr>
          <w:rFonts w:ascii="Arial" w:eastAsiaTheme="minorEastAsia" w:hAnsi="Arial" w:cs="Arial"/>
        </w:rPr>
        <w:t xml:space="preserve"> para o Estado </w:t>
      </w:r>
      <w:r>
        <w:rPr>
          <w:rFonts w:ascii="Arial" w:eastAsiaTheme="minorEastAsia" w:hAnsi="Arial" w:cs="Arial"/>
          <w:i/>
          <w:iCs/>
        </w:rPr>
        <w:t xml:space="preserve">i </w:t>
      </w:r>
      <w:r>
        <w:rPr>
          <w:rFonts w:ascii="Arial" w:eastAsiaTheme="minorEastAsia" w:hAnsi="Arial" w:cs="Arial"/>
        </w:rPr>
        <w:t xml:space="preserve">e ano </w:t>
      </w:r>
      <w:r>
        <w:rPr>
          <w:rFonts w:ascii="Arial" w:eastAsiaTheme="minorEastAsia" w:hAnsi="Arial" w:cs="Arial"/>
          <w:i/>
          <w:iCs/>
        </w:rPr>
        <w:t>t</w:t>
      </w:r>
      <w:r>
        <w:rPr>
          <w:rFonts w:ascii="Arial" w:eastAsiaTheme="minorEastAsia" w:hAnsi="Arial" w:cs="Arial"/>
        </w:rPr>
        <w:t>,</w:t>
      </w:r>
    </w:p>
    <w:p w14:paraId="2C4E27FD" w14:textId="4802CB73" w:rsidR="005B51EC" w:rsidRDefault="005B51EC" w:rsidP="007419FD">
      <w:pPr>
        <w:spacing w:line="360" w:lineRule="auto"/>
        <w:jc w:val="both"/>
        <w:rPr>
          <w:rFonts w:ascii="Arial" w:eastAsiaTheme="minorEastAsia" w:hAnsi="Arial" w:cs="Arial"/>
        </w:rPr>
      </w:pPr>
      <w:r>
        <w:rPr>
          <w:rFonts w:ascii="Arial" w:eastAsiaTheme="minorEastAsia" w:hAnsi="Arial" w:cs="Arial"/>
        </w:rPr>
        <w:lastRenderedPageBreak/>
        <w:tab/>
      </w:r>
      <w:r>
        <w:rPr>
          <w:rFonts w:ascii="Arial" w:eastAsiaTheme="minorEastAsia" w:hAnsi="Arial" w:cs="Arial"/>
        </w:rPr>
        <w:tab/>
      </w:r>
      <m:oMath>
        <m:sSub>
          <m:sSubPr>
            <m:ctrlPr>
              <w:rPr>
                <w:rFonts w:ascii="Cambria Math" w:hAnsi="Cambria Math"/>
                <w:i/>
              </w:rPr>
            </m:ctrlPr>
          </m:sSubPr>
          <m:e>
            <m:r>
              <w:rPr>
                <w:rFonts w:ascii="Cambria Math" w:hAnsi="Cambria Math"/>
              </w:rPr>
              <m:t>I</m:t>
            </m:r>
          </m:e>
          <m:sub>
            <m:r>
              <w:rPr>
                <w:rFonts w:ascii="Cambria Math" w:hAnsi="Cambria Math"/>
              </w:rPr>
              <m:t>it</m:t>
            </m:r>
          </m:sub>
        </m:sSub>
      </m:oMath>
      <w:r>
        <w:rPr>
          <w:rFonts w:ascii="Arial" w:eastAsiaTheme="minorEastAsia" w:hAnsi="Arial" w:cs="Arial"/>
        </w:rPr>
        <w:t xml:space="preserve"> é cada um dos indicadores de descentralização obtido para o Estado </w:t>
      </w:r>
      <w:r>
        <w:rPr>
          <w:rFonts w:ascii="Arial" w:eastAsiaTheme="minorEastAsia" w:hAnsi="Arial" w:cs="Arial"/>
          <w:i/>
          <w:iCs/>
        </w:rPr>
        <w:t>i</w:t>
      </w:r>
      <w:r>
        <w:rPr>
          <w:rFonts w:ascii="Arial" w:eastAsiaTheme="minorEastAsia" w:hAnsi="Arial" w:cs="Arial"/>
        </w:rPr>
        <w:t xml:space="preserve"> no ano </w:t>
      </w:r>
      <w:r>
        <w:rPr>
          <w:rFonts w:ascii="Arial" w:eastAsiaTheme="minorEastAsia" w:hAnsi="Arial" w:cs="Arial"/>
          <w:i/>
          <w:iCs/>
        </w:rPr>
        <w:t>t</w:t>
      </w:r>
      <w:r>
        <w:rPr>
          <w:rFonts w:ascii="Arial" w:eastAsiaTheme="minorEastAsia" w:hAnsi="Arial" w:cs="Arial"/>
        </w:rPr>
        <w:t>,</w:t>
      </w:r>
    </w:p>
    <w:p w14:paraId="79E23B6E" w14:textId="7BA51E8A" w:rsidR="005B51EC" w:rsidRDefault="005B51EC" w:rsidP="007419FD">
      <w:pPr>
        <w:spacing w:line="360" w:lineRule="auto"/>
        <w:jc w:val="both"/>
        <w:rPr>
          <w:rFonts w:ascii="Arial" w:eastAsiaTheme="minorEastAsia" w:hAnsi="Arial" w:cs="Arial"/>
        </w:rPr>
      </w:pPr>
      <w:r>
        <w:rPr>
          <w:rFonts w:ascii="Arial" w:eastAsiaTheme="minorEastAsia" w:hAnsi="Arial" w:cs="Arial"/>
        </w:rPr>
        <w:tab/>
      </w:r>
      <w:r>
        <w:rPr>
          <w:rFonts w:ascii="Arial" w:eastAsiaTheme="minorEastAsia" w:hAnsi="Arial" w:cs="Arial"/>
        </w:rPr>
        <w:tab/>
      </w:r>
      <m:oMath>
        <m:sSub>
          <m:sSubPr>
            <m:ctrlPr>
              <w:rPr>
                <w:rFonts w:ascii="Cambria Math" w:hAnsi="Cambria Math"/>
                <w:i/>
              </w:rPr>
            </m:ctrlPr>
          </m:sSubPr>
          <m:e>
            <m:r>
              <w:rPr>
                <w:rFonts w:ascii="Cambria Math" w:hAnsi="Cambria Math"/>
              </w:rPr>
              <m:t>X</m:t>
            </m:r>
          </m:e>
          <m:sub>
            <m:r>
              <w:rPr>
                <w:rFonts w:ascii="Cambria Math" w:hAnsi="Cambria Math"/>
              </w:rPr>
              <m:t>it</m:t>
            </m:r>
          </m:sub>
        </m:sSub>
      </m:oMath>
      <w:r>
        <w:rPr>
          <w:rFonts w:ascii="Arial" w:eastAsiaTheme="minorEastAsia" w:hAnsi="Arial" w:cs="Arial"/>
        </w:rPr>
        <w:t xml:space="preserve"> são as variáveis de controle para cada Estado </w:t>
      </w:r>
      <w:r>
        <w:rPr>
          <w:rFonts w:ascii="Arial" w:eastAsiaTheme="minorEastAsia" w:hAnsi="Arial" w:cs="Arial"/>
          <w:i/>
          <w:iCs/>
        </w:rPr>
        <w:t xml:space="preserve">i </w:t>
      </w:r>
      <w:r>
        <w:rPr>
          <w:rFonts w:ascii="Arial" w:eastAsiaTheme="minorEastAsia" w:hAnsi="Arial" w:cs="Arial"/>
        </w:rPr>
        <w:t xml:space="preserve">no ano </w:t>
      </w:r>
      <w:r>
        <w:rPr>
          <w:rFonts w:ascii="Arial" w:eastAsiaTheme="minorEastAsia" w:hAnsi="Arial" w:cs="Arial"/>
          <w:i/>
          <w:iCs/>
        </w:rPr>
        <w:t>t</w:t>
      </w:r>
      <w:r>
        <w:rPr>
          <w:rFonts w:ascii="Arial" w:eastAsiaTheme="minorEastAsia" w:hAnsi="Arial" w:cs="Arial"/>
        </w:rPr>
        <w:t>,</w:t>
      </w:r>
    </w:p>
    <w:p w14:paraId="08436FC8" w14:textId="3F702327" w:rsidR="005B51EC" w:rsidRDefault="005B51EC" w:rsidP="007419FD">
      <w:pPr>
        <w:spacing w:line="360" w:lineRule="auto"/>
        <w:jc w:val="both"/>
        <w:rPr>
          <w:rFonts w:ascii="Arial" w:eastAsiaTheme="minorEastAsia" w:hAnsi="Arial" w:cs="Arial"/>
        </w:rPr>
      </w:pPr>
      <w:r>
        <w:rPr>
          <w:rFonts w:ascii="Arial" w:eastAsiaTheme="minorEastAsia" w:hAnsi="Arial" w:cs="Arial"/>
        </w:rPr>
        <w:tab/>
      </w:r>
      <w:r>
        <w:rPr>
          <w:rFonts w:ascii="Arial" w:eastAsiaTheme="minorEastAsia" w:hAnsi="Arial" w:cs="Arial"/>
        </w:rPr>
        <w:tab/>
      </w:r>
      <m:oMath>
        <m:sSub>
          <m:sSubPr>
            <m:ctrlPr>
              <w:rPr>
                <w:rFonts w:ascii="Cambria Math" w:hAnsi="Cambria Math"/>
                <w:i/>
              </w:rPr>
            </m:ctrlPr>
          </m:sSubPr>
          <m:e>
            <m:r>
              <w:rPr>
                <w:rFonts w:ascii="Cambria Math" w:hAnsi="Cambria Math"/>
              </w:rPr>
              <m:t>ε</m:t>
            </m:r>
          </m:e>
          <m:sub>
            <m:r>
              <w:rPr>
                <w:rFonts w:ascii="Cambria Math" w:hAnsi="Cambria Math"/>
              </w:rPr>
              <m:t>it</m:t>
            </m:r>
          </m:sub>
        </m:sSub>
      </m:oMath>
      <w:r>
        <w:rPr>
          <w:rFonts w:ascii="Arial" w:eastAsiaTheme="minorEastAsia" w:hAnsi="Arial" w:cs="Arial"/>
        </w:rPr>
        <w:t xml:space="preserve"> é o termo de erro para cada Estado </w:t>
      </w:r>
      <w:r>
        <w:rPr>
          <w:rFonts w:ascii="Arial" w:eastAsiaTheme="minorEastAsia" w:hAnsi="Arial" w:cs="Arial"/>
          <w:i/>
          <w:iCs/>
        </w:rPr>
        <w:t xml:space="preserve">i </w:t>
      </w:r>
      <w:r>
        <w:rPr>
          <w:rFonts w:ascii="Arial" w:eastAsiaTheme="minorEastAsia" w:hAnsi="Arial" w:cs="Arial"/>
        </w:rPr>
        <w:t xml:space="preserve">no ano </w:t>
      </w:r>
      <w:r>
        <w:rPr>
          <w:rFonts w:ascii="Arial" w:eastAsiaTheme="minorEastAsia" w:hAnsi="Arial" w:cs="Arial"/>
          <w:i/>
          <w:iCs/>
        </w:rPr>
        <w:t>t</w:t>
      </w:r>
      <w:r>
        <w:rPr>
          <w:rFonts w:ascii="Arial" w:eastAsiaTheme="minorEastAsia" w:hAnsi="Arial" w:cs="Arial"/>
        </w:rPr>
        <w:t>,</w:t>
      </w:r>
    </w:p>
    <w:p w14:paraId="15C600C0" w14:textId="23BDB25B" w:rsidR="005B51EC" w:rsidRDefault="005B51EC" w:rsidP="007419FD">
      <w:pPr>
        <w:spacing w:line="360" w:lineRule="auto"/>
        <w:jc w:val="both"/>
        <w:rPr>
          <w:rFonts w:ascii="Arial" w:eastAsiaTheme="minorEastAsia" w:hAnsi="Arial" w:cs="Arial"/>
        </w:rPr>
      </w:pPr>
      <w:r>
        <w:rPr>
          <w:rFonts w:ascii="Arial" w:eastAsiaTheme="minorEastAsia" w:hAnsi="Arial" w:cs="Arial"/>
        </w:rPr>
        <w:tab/>
      </w:r>
      <w:r>
        <w:rPr>
          <w:rFonts w:ascii="Arial" w:eastAsiaTheme="minorEastAsia" w:hAnsi="Arial" w:cs="Arial"/>
        </w:rPr>
        <w:tab/>
      </w:r>
      <m:oMath>
        <m:sSub>
          <m:sSubPr>
            <m:ctrlPr>
              <w:rPr>
                <w:rFonts w:ascii="Cambria Math" w:hAnsi="Cambria Math"/>
                <w:i/>
              </w:rPr>
            </m:ctrlPr>
          </m:sSubPr>
          <m:e>
            <m:r>
              <w:rPr>
                <w:rFonts w:ascii="Cambria Math" w:hAnsi="Cambria Math"/>
              </w:rPr>
              <m:t>α</m:t>
            </m:r>
          </m:e>
          <m:sub>
            <m:r>
              <w:rPr>
                <w:rFonts w:ascii="Cambria Math" w:hAnsi="Cambria Math"/>
              </w:rPr>
              <m:t>i0</m:t>
            </m:r>
          </m:sub>
        </m:sSub>
      </m:oMath>
      <w:r>
        <w:rPr>
          <w:rFonts w:ascii="Arial" w:eastAsiaTheme="minorEastAsia" w:hAnsi="Arial" w:cs="Arial"/>
        </w:rPr>
        <w:t xml:space="preserve">, </w:t>
      </w:r>
      <m:oMath>
        <m:sSub>
          <m:sSubPr>
            <m:ctrlPr>
              <w:rPr>
                <w:rFonts w:ascii="Cambria Math" w:hAnsi="Cambria Math"/>
                <w:i/>
              </w:rPr>
            </m:ctrlPr>
          </m:sSubPr>
          <m:e>
            <m:r>
              <w:rPr>
                <w:rFonts w:ascii="Cambria Math" w:hAnsi="Cambria Math"/>
              </w:rPr>
              <m:t>α</m:t>
            </m:r>
          </m:e>
          <m:sub>
            <m:r>
              <w:rPr>
                <w:rFonts w:ascii="Cambria Math" w:hAnsi="Cambria Math"/>
              </w:rPr>
              <m:t>i1</m:t>
            </m:r>
          </m:sub>
        </m:sSub>
      </m:oMath>
      <w:r>
        <w:rPr>
          <w:rFonts w:ascii="Arial" w:eastAsiaTheme="minorEastAsia" w:hAnsi="Arial" w:cs="Arial"/>
        </w:rPr>
        <w:t xml:space="preserve"> são escalares, e</w:t>
      </w:r>
    </w:p>
    <w:p w14:paraId="09AAF902" w14:textId="01CCB489" w:rsidR="005B51EC" w:rsidRDefault="005B51EC" w:rsidP="007419FD">
      <w:pPr>
        <w:spacing w:line="360" w:lineRule="auto"/>
        <w:jc w:val="both"/>
        <w:rPr>
          <w:rFonts w:ascii="Arial" w:eastAsiaTheme="minorEastAsia" w:hAnsi="Arial" w:cs="Arial"/>
        </w:rPr>
      </w:pPr>
      <w:r>
        <w:rPr>
          <w:rFonts w:ascii="Arial" w:eastAsiaTheme="minorEastAsia" w:hAnsi="Arial" w:cs="Arial"/>
        </w:rPr>
        <w:tab/>
      </w:r>
      <w:r>
        <w:rPr>
          <w:rFonts w:ascii="Arial" w:eastAsiaTheme="minorEastAsia" w:hAnsi="Arial" w:cs="Arial"/>
        </w:rPr>
        <w:tab/>
      </w:r>
      <m:oMath>
        <m:r>
          <w:rPr>
            <w:rFonts w:ascii="Cambria Math" w:hAnsi="Cambria Math"/>
          </w:rPr>
          <m:t>β</m:t>
        </m:r>
      </m:oMath>
      <w:r>
        <w:rPr>
          <w:rFonts w:ascii="Arial" w:eastAsiaTheme="minorEastAsia" w:hAnsi="Arial" w:cs="Arial"/>
        </w:rPr>
        <w:t xml:space="preserve"> é </w:t>
      </w:r>
      <w:r w:rsidR="00523A0F">
        <w:rPr>
          <w:rFonts w:ascii="Arial" w:eastAsiaTheme="minorEastAsia" w:hAnsi="Arial" w:cs="Arial"/>
        </w:rPr>
        <w:t>o</w:t>
      </w:r>
      <w:r>
        <w:rPr>
          <w:rFonts w:ascii="Arial" w:eastAsiaTheme="minorEastAsia" w:hAnsi="Arial" w:cs="Arial"/>
        </w:rPr>
        <w:t xml:space="preserve"> vetor</w:t>
      </w:r>
      <w:r w:rsidR="00523A0F">
        <w:rPr>
          <w:rFonts w:ascii="Arial" w:eastAsiaTheme="minorEastAsia" w:hAnsi="Arial" w:cs="Arial"/>
        </w:rPr>
        <w:t xml:space="preserve"> dos coeficientes das variáveis de controle</w:t>
      </w:r>
      <w:r>
        <w:rPr>
          <w:rFonts w:ascii="Arial" w:eastAsiaTheme="minorEastAsia" w:hAnsi="Arial" w:cs="Arial"/>
        </w:rPr>
        <w:t>.</w:t>
      </w:r>
    </w:p>
    <w:p w14:paraId="2E317C21" w14:textId="1ADF3239" w:rsidR="00CC3F15" w:rsidRDefault="00CC3F15" w:rsidP="007419FD">
      <w:pPr>
        <w:spacing w:line="360" w:lineRule="auto"/>
        <w:jc w:val="both"/>
        <w:rPr>
          <w:rFonts w:ascii="Arial" w:eastAsiaTheme="minorEastAsia" w:hAnsi="Arial" w:cs="Arial"/>
        </w:rPr>
      </w:pPr>
      <w:r>
        <w:rPr>
          <w:rFonts w:ascii="Arial" w:eastAsiaTheme="minorEastAsia" w:hAnsi="Arial" w:cs="Arial"/>
        </w:rPr>
        <w:tab/>
        <w:t>De acordo com o modelo proposto e a natureza das variáveis utilizadas na estimação os sinais esperados para os coeficientes de cada variável são apresentados a seguir:</w:t>
      </w:r>
    </w:p>
    <w:p w14:paraId="7F96694E" w14:textId="4852C2CE" w:rsidR="00CC3F15" w:rsidRDefault="00CC3F15" w:rsidP="007419FD">
      <w:pPr>
        <w:spacing w:line="360" w:lineRule="auto"/>
        <w:jc w:val="both"/>
        <w:rPr>
          <w:rFonts w:ascii="Arial" w:eastAsiaTheme="minorEastAsia" w:hAnsi="Arial" w:cs="Arial"/>
        </w:rPr>
      </w:pPr>
    </w:p>
    <w:p w14:paraId="7BF3BE5B" w14:textId="2067D38C" w:rsidR="005B2786" w:rsidRDefault="004E0034" w:rsidP="007419FD">
      <w:pPr>
        <w:spacing w:line="360" w:lineRule="auto"/>
        <w:jc w:val="both"/>
        <w:rPr>
          <w:rFonts w:ascii="Arial" w:eastAsiaTheme="minorEastAsia" w:hAnsi="Arial" w:cs="Arial"/>
        </w:rPr>
      </w:pPr>
      <w:r>
        <w:rPr>
          <w:rFonts w:ascii="Arial" w:hAnsi="Arial" w:cs="Arial"/>
          <w:b/>
        </w:rPr>
        <w:t>Tabela 3 –</w:t>
      </w:r>
      <w:r w:rsidR="005B2786">
        <w:rPr>
          <w:rFonts w:ascii="Arial" w:eastAsiaTheme="minorEastAsia" w:hAnsi="Arial" w:cs="Arial"/>
        </w:rPr>
        <w:t xml:space="preserve"> Análise prévia dos sinais esperados</w:t>
      </w:r>
      <w:r>
        <w:rPr>
          <w:rFonts w:ascii="Arial" w:eastAsiaTheme="minorEastAsia" w:hAnsi="Arial" w:cs="Arial"/>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4"/>
        <w:gridCol w:w="1958"/>
        <w:gridCol w:w="5336"/>
      </w:tblGrid>
      <w:tr w:rsidR="00CC3F15" w:rsidRPr="00370F1F" w14:paraId="138647E7" w14:textId="77777777" w:rsidTr="00DC0294">
        <w:tc>
          <w:tcPr>
            <w:tcW w:w="1204" w:type="dxa"/>
            <w:tcBorders>
              <w:top w:val="single" w:sz="4" w:space="0" w:color="auto"/>
              <w:bottom w:val="single" w:sz="4" w:space="0" w:color="auto"/>
            </w:tcBorders>
          </w:tcPr>
          <w:p w14:paraId="63087361" w14:textId="212200E5" w:rsidR="00CC3F15" w:rsidRPr="00370F1F" w:rsidRDefault="00CC3F15" w:rsidP="002D0203">
            <w:pPr>
              <w:jc w:val="both"/>
              <w:rPr>
                <w:rFonts w:ascii="Arial" w:hAnsi="Arial" w:cs="Arial"/>
              </w:rPr>
            </w:pPr>
            <w:r>
              <w:rPr>
                <w:rFonts w:ascii="Arial" w:hAnsi="Arial" w:cs="Arial"/>
              </w:rPr>
              <w:t>Indicador</w:t>
            </w:r>
          </w:p>
        </w:tc>
        <w:tc>
          <w:tcPr>
            <w:tcW w:w="1958" w:type="dxa"/>
            <w:tcBorders>
              <w:top w:val="single" w:sz="4" w:space="0" w:color="auto"/>
              <w:bottom w:val="single" w:sz="4" w:space="0" w:color="auto"/>
            </w:tcBorders>
          </w:tcPr>
          <w:p w14:paraId="563F3C5C" w14:textId="2C42A9C4" w:rsidR="00CC3F15" w:rsidRPr="00370F1F" w:rsidRDefault="00CC3F15" w:rsidP="002D0203">
            <w:pPr>
              <w:jc w:val="both"/>
              <w:rPr>
                <w:rFonts w:ascii="Arial" w:hAnsi="Arial" w:cs="Arial"/>
              </w:rPr>
            </w:pPr>
            <w:r>
              <w:rPr>
                <w:rFonts w:ascii="Arial" w:hAnsi="Arial" w:cs="Arial"/>
              </w:rPr>
              <w:t>Sinal Esperado</w:t>
            </w:r>
          </w:p>
        </w:tc>
        <w:tc>
          <w:tcPr>
            <w:tcW w:w="5336" w:type="dxa"/>
            <w:tcBorders>
              <w:top w:val="single" w:sz="4" w:space="0" w:color="auto"/>
              <w:bottom w:val="single" w:sz="4" w:space="0" w:color="auto"/>
            </w:tcBorders>
          </w:tcPr>
          <w:p w14:paraId="52FB7362" w14:textId="69942CC5" w:rsidR="00CC3F15" w:rsidRPr="00370F1F" w:rsidRDefault="00CC3F15" w:rsidP="002D0203">
            <w:pPr>
              <w:jc w:val="center"/>
              <w:rPr>
                <w:rFonts w:ascii="Arial" w:hAnsi="Arial" w:cs="Arial"/>
              </w:rPr>
            </w:pPr>
            <w:r>
              <w:rPr>
                <w:rFonts w:ascii="Arial" w:hAnsi="Arial" w:cs="Arial"/>
              </w:rPr>
              <w:t>Avaliação</w:t>
            </w:r>
          </w:p>
        </w:tc>
      </w:tr>
      <w:tr w:rsidR="00CC3F15" w:rsidRPr="00370F1F" w14:paraId="687969CA" w14:textId="77777777" w:rsidTr="00DC0294">
        <w:tc>
          <w:tcPr>
            <w:tcW w:w="1204" w:type="dxa"/>
            <w:vAlign w:val="center"/>
          </w:tcPr>
          <w:p w14:paraId="1950F575" w14:textId="1644DC3A" w:rsidR="00CC3F15" w:rsidRPr="00370F1F" w:rsidRDefault="00CC3F15" w:rsidP="002D0203">
            <w:pPr>
              <w:rPr>
                <w:rFonts w:ascii="Arial" w:hAnsi="Arial" w:cs="Arial"/>
                <w:i/>
                <w:iCs/>
              </w:rPr>
            </w:pPr>
            <w:r w:rsidRPr="00370F1F">
              <w:rPr>
                <w:rFonts w:ascii="Arial" w:hAnsi="Arial" w:cs="Arial"/>
                <w:i/>
                <w:iCs/>
              </w:rPr>
              <w:t>G</w:t>
            </w:r>
          </w:p>
        </w:tc>
        <w:tc>
          <w:tcPr>
            <w:tcW w:w="1958" w:type="dxa"/>
            <w:vAlign w:val="center"/>
          </w:tcPr>
          <w:p w14:paraId="51E544D9" w14:textId="57C66FA6" w:rsidR="00CC3F15" w:rsidRPr="00370F1F" w:rsidRDefault="00CC3F15" w:rsidP="00CC3F15">
            <w:pPr>
              <w:jc w:val="center"/>
              <w:rPr>
                <w:rFonts w:ascii="Arial" w:hAnsi="Arial" w:cs="Arial"/>
              </w:rPr>
            </w:pPr>
            <w:r>
              <w:rPr>
                <w:rFonts w:ascii="Arial" w:hAnsi="Arial" w:cs="Arial"/>
              </w:rPr>
              <w:t>Negativo</w:t>
            </w:r>
          </w:p>
        </w:tc>
        <w:tc>
          <w:tcPr>
            <w:tcW w:w="5336" w:type="dxa"/>
          </w:tcPr>
          <w:p w14:paraId="1C4396EE" w14:textId="77777777" w:rsidR="00CC3F15" w:rsidRDefault="00CC3F15" w:rsidP="00CC3F15">
            <w:pPr>
              <w:jc w:val="both"/>
              <w:rPr>
                <w:rFonts w:ascii="Arial" w:hAnsi="Arial" w:cs="Arial"/>
              </w:rPr>
            </w:pPr>
            <w:r>
              <w:rPr>
                <w:rFonts w:ascii="Arial" w:hAnsi="Arial" w:cs="Arial"/>
              </w:rPr>
              <w:t xml:space="preserve">É um índice que varia de zero a um e quanto maior o valor, mais concentrada a renda. Espera-se que a distribuição justa da riqueza gerada estimule o crescimento econômico e consequentemente aumente o valor do PIB </w:t>
            </w:r>
            <w:r>
              <w:rPr>
                <w:rFonts w:ascii="Arial" w:hAnsi="Arial" w:cs="Arial"/>
                <w:i/>
                <w:iCs/>
              </w:rPr>
              <w:t>per capita</w:t>
            </w:r>
            <w:r>
              <w:rPr>
                <w:rFonts w:ascii="Arial" w:hAnsi="Arial" w:cs="Arial"/>
              </w:rPr>
              <w:t xml:space="preserve"> ao longo dos anos.</w:t>
            </w:r>
          </w:p>
          <w:p w14:paraId="01FD2B79" w14:textId="7D7F6B48" w:rsidR="00CC3F15" w:rsidRPr="00CC3F15" w:rsidRDefault="00CC3F15" w:rsidP="00CC3F15">
            <w:pPr>
              <w:jc w:val="both"/>
              <w:rPr>
                <w:rFonts w:ascii="Arial" w:hAnsi="Arial" w:cs="Arial"/>
              </w:rPr>
            </w:pPr>
          </w:p>
        </w:tc>
      </w:tr>
      <w:tr w:rsidR="00CC3F15" w:rsidRPr="00370F1F" w14:paraId="658B554D" w14:textId="77777777" w:rsidTr="00DC0294">
        <w:tc>
          <w:tcPr>
            <w:tcW w:w="1204" w:type="dxa"/>
            <w:vAlign w:val="center"/>
          </w:tcPr>
          <w:p w14:paraId="14DC6A5E" w14:textId="6801DFFB" w:rsidR="00CC3F15" w:rsidRPr="00370F1F" w:rsidRDefault="00CC3F15" w:rsidP="002D0203">
            <w:pPr>
              <w:rPr>
                <w:rFonts w:ascii="Arial" w:hAnsi="Arial" w:cs="Arial"/>
                <w:i/>
                <w:iCs/>
              </w:rPr>
            </w:pPr>
            <w:r w:rsidRPr="00370F1F">
              <w:rPr>
                <w:rFonts w:ascii="Arial" w:hAnsi="Arial" w:cs="Arial"/>
                <w:i/>
                <w:iCs/>
              </w:rPr>
              <w:t>An</w:t>
            </w:r>
          </w:p>
        </w:tc>
        <w:tc>
          <w:tcPr>
            <w:tcW w:w="1958" w:type="dxa"/>
            <w:vAlign w:val="center"/>
          </w:tcPr>
          <w:p w14:paraId="66E9458E" w14:textId="30F0143F" w:rsidR="00CC3F15" w:rsidRPr="00370F1F" w:rsidRDefault="00CC3F15" w:rsidP="00CC3F15">
            <w:pPr>
              <w:jc w:val="center"/>
              <w:rPr>
                <w:rFonts w:ascii="Arial" w:hAnsi="Arial" w:cs="Arial"/>
              </w:rPr>
            </w:pPr>
            <w:r>
              <w:rPr>
                <w:rFonts w:ascii="Arial" w:hAnsi="Arial" w:cs="Arial"/>
              </w:rPr>
              <w:t>Negativo</w:t>
            </w:r>
          </w:p>
        </w:tc>
        <w:tc>
          <w:tcPr>
            <w:tcW w:w="5336" w:type="dxa"/>
          </w:tcPr>
          <w:p w14:paraId="1E1E3546" w14:textId="41EBEFE3" w:rsidR="00CC3F15" w:rsidRPr="00370F1F" w:rsidRDefault="00CC3F15" w:rsidP="002D0203">
            <w:pPr>
              <w:jc w:val="both"/>
              <w:rPr>
                <w:rFonts w:ascii="Arial" w:hAnsi="Arial" w:cs="Arial"/>
              </w:rPr>
            </w:pPr>
            <w:r>
              <w:rPr>
                <w:rFonts w:ascii="Arial" w:hAnsi="Arial" w:cs="Arial"/>
              </w:rPr>
              <w:t>Quanto maior o nível de educação de uma população maior sua capacidade de produzir riqueza, assim, quanto maior o nível de analfabetismo menor o crescimento econômico esperado.</w:t>
            </w:r>
          </w:p>
          <w:p w14:paraId="07EE8C5C" w14:textId="77777777" w:rsidR="00CC3F15" w:rsidRPr="00370F1F" w:rsidRDefault="00CC3F15" w:rsidP="002D0203">
            <w:pPr>
              <w:jc w:val="both"/>
              <w:rPr>
                <w:rFonts w:ascii="Arial" w:hAnsi="Arial" w:cs="Arial"/>
              </w:rPr>
            </w:pPr>
          </w:p>
        </w:tc>
      </w:tr>
      <w:tr w:rsidR="00CC3F15" w:rsidRPr="00370F1F" w14:paraId="73CD9E6C" w14:textId="77777777" w:rsidTr="00DC0294">
        <w:tc>
          <w:tcPr>
            <w:tcW w:w="1204" w:type="dxa"/>
            <w:vAlign w:val="center"/>
          </w:tcPr>
          <w:p w14:paraId="2D544770" w14:textId="135E9FD9" w:rsidR="00CC3F15" w:rsidRPr="00370F1F" w:rsidRDefault="00CC3F15" w:rsidP="002D0203">
            <w:pPr>
              <w:rPr>
                <w:rFonts w:ascii="Arial" w:hAnsi="Arial" w:cs="Arial"/>
                <w:i/>
                <w:iCs/>
              </w:rPr>
            </w:pPr>
            <w:r w:rsidRPr="00370F1F">
              <w:rPr>
                <w:rFonts w:ascii="Arial" w:hAnsi="Arial" w:cs="Arial"/>
                <w:i/>
                <w:iCs/>
              </w:rPr>
              <w:t>MI</w:t>
            </w:r>
          </w:p>
        </w:tc>
        <w:tc>
          <w:tcPr>
            <w:tcW w:w="1958" w:type="dxa"/>
            <w:vAlign w:val="center"/>
          </w:tcPr>
          <w:p w14:paraId="15454CB6" w14:textId="3529B77E" w:rsidR="00CC3F15" w:rsidRPr="00370F1F" w:rsidRDefault="00CC3F15" w:rsidP="00CC3F15">
            <w:pPr>
              <w:jc w:val="center"/>
              <w:rPr>
                <w:rFonts w:ascii="Arial" w:hAnsi="Arial" w:cs="Arial"/>
              </w:rPr>
            </w:pPr>
            <w:r>
              <w:rPr>
                <w:rFonts w:ascii="Arial" w:hAnsi="Arial" w:cs="Arial"/>
              </w:rPr>
              <w:t>Negativo</w:t>
            </w:r>
          </w:p>
        </w:tc>
        <w:tc>
          <w:tcPr>
            <w:tcW w:w="5336" w:type="dxa"/>
          </w:tcPr>
          <w:p w14:paraId="1E9C9E5D" w14:textId="7FB07066" w:rsidR="00CC3F15" w:rsidRPr="00370F1F" w:rsidRDefault="00CC3F15" w:rsidP="002D0203">
            <w:pPr>
              <w:jc w:val="both"/>
              <w:rPr>
                <w:rFonts w:ascii="Arial" w:hAnsi="Arial" w:cs="Arial"/>
              </w:rPr>
            </w:pPr>
            <w:r>
              <w:rPr>
                <w:rFonts w:ascii="Arial" w:hAnsi="Arial" w:cs="Arial"/>
              </w:rPr>
              <w:t>Espera-se que melhores condições de saúde da população criem um ambiente favorável à geração de riqueza, assim espera-se um indicador negativo para esta variável pois quanto maior o nível de mortalidade infantil menor o crescimento econômico esperado.</w:t>
            </w:r>
          </w:p>
          <w:p w14:paraId="79740AC2" w14:textId="77777777" w:rsidR="00CC3F15" w:rsidRPr="00370F1F" w:rsidRDefault="00CC3F15" w:rsidP="002D0203">
            <w:pPr>
              <w:jc w:val="both"/>
              <w:rPr>
                <w:rFonts w:ascii="Arial" w:hAnsi="Arial" w:cs="Arial"/>
              </w:rPr>
            </w:pPr>
          </w:p>
        </w:tc>
      </w:tr>
      <w:tr w:rsidR="00CC3F15" w:rsidRPr="00370F1F" w14:paraId="31AA61E5" w14:textId="77777777" w:rsidTr="00DC0294">
        <w:tc>
          <w:tcPr>
            <w:tcW w:w="1204" w:type="dxa"/>
            <w:vAlign w:val="center"/>
          </w:tcPr>
          <w:p w14:paraId="32438F72" w14:textId="2ED504DF" w:rsidR="00CC3F15" w:rsidRPr="00370F1F" w:rsidRDefault="00CC3F15" w:rsidP="002D0203">
            <w:pPr>
              <w:rPr>
                <w:rFonts w:ascii="Arial" w:hAnsi="Arial" w:cs="Arial"/>
                <w:i/>
                <w:iCs/>
              </w:rPr>
            </w:pPr>
            <w:r w:rsidRPr="00370F1F">
              <w:rPr>
                <w:rFonts w:ascii="Arial" w:hAnsi="Arial" w:cs="Arial"/>
                <w:i/>
                <w:iCs/>
              </w:rPr>
              <w:t>Hom</w:t>
            </w:r>
          </w:p>
        </w:tc>
        <w:tc>
          <w:tcPr>
            <w:tcW w:w="1958" w:type="dxa"/>
            <w:vAlign w:val="center"/>
          </w:tcPr>
          <w:p w14:paraId="64E2C5C7" w14:textId="4042B30F" w:rsidR="00CC3F15" w:rsidRPr="00370F1F" w:rsidRDefault="00CC3F15" w:rsidP="00CC3F15">
            <w:pPr>
              <w:jc w:val="center"/>
              <w:rPr>
                <w:rFonts w:ascii="Arial" w:hAnsi="Arial" w:cs="Arial"/>
              </w:rPr>
            </w:pPr>
            <w:r>
              <w:rPr>
                <w:rFonts w:ascii="Arial" w:hAnsi="Arial" w:cs="Arial"/>
              </w:rPr>
              <w:t>Negativo</w:t>
            </w:r>
          </w:p>
        </w:tc>
        <w:tc>
          <w:tcPr>
            <w:tcW w:w="5336" w:type="dxa"/>
          </w:tcPr>
          <w:p w14:paraId="6ACA5A6D" w14:textId="2A484A37" w:rsidR="00CC3F15" w:rsidRDefault="00CC3F15" w:rsidP="002D0203">
            <w:pPr>
              <w:jc w:val="both"/>
              <w:rPr>
                <w:rFonts w:ascii="Arial" w:hAnsi="Arial" w:cs="Arial"/>
              </w:rPr>
            </w:pPr>
            <w:r>
              <w:rPr>
                <w:rFonts w:ascii="Arial" w:hAnsi="Arial" w:cs="Arial"/>
              </w:rPr>
              <w:t>Altos níveis de homicídio refletem uma segurança pública precária, desestimula o ingresso de novos atores na economia local e por consequência pioram a capacidade de aumentar a renda da população.</w:t>
            </w:r>
          </w:p>
          <w:p w14:paraId="6FFC0074" w14:textId="77777777" w:rsidR="00CC3F15" w:rsidRPr="00370F1F" w:rsidRDefault="00CC3F15" w:rsidP="002D0203">
            <w:pPr>
              <w:jc w:val="both"/>
              <w:rPr>
                <w:rFonts w:ascii="Arial" w:hAnsi="Arial" w:cs="Arial"/>
              </w:rPr>
            </w:pPr>
          </w:p>
        </w:tc>
      </w:tr>
      <w:tr w:rsidR="00CC3F15" w:rsidRPr="00B33D61" w14:paraId="4C874488" w14:textId="77777777" w:rsidTr="00DC0294">
        <w:tc>
          <w:tcPr>
            <w:tcW w:w="1204" w:type="dxa"/>
            <w:tcBorders>
              <w:bottom w:val="single" w:sz="4" w:space="0" w:color="auto"/>
            </w:tcBorders>
            <w:vAlign w:val="center"/>
          </w:tcPr>
          <w:p w14:paraId="707A5C7D" w14:textId="2ADD0F27" w:rsidR="00CC3F15" w:rsidRPr="00B33D61" w:rsidRDefault="00CC3F15" w:rsidP="002D0203">
            <w:pPr>
              <w:rPr>
                <w:rFonts w:ascii="Arial" w:hAnsi="Arial" w:cs="Arial"/>
                <w:i/>
                <w:iCs/>
              </w:rPr>
            </w:pPr>
            <w:r>
              <w:rPr>
                <w:rFonts w:ascii="Arial" w:hAnsi="Arial" w:cs="Arial"/>
                <w:i/>
                <w:iCs/>
              </w:rPr>
              <w:lastRenderedPageBreak/>
              <w:t>Pop</w:t>
            </w:r>
          </w:p>
        </w:tc>
        <w:tc>
          <w:tcPr>
            <w:tcW w:w="1958" w:type="dxa"/>
            <w:tcBorders>
              <w:bottom w:val="single" w:sz="4" w:space="0" w:color="auto"/>
            </w:tcBorders>
            <w:vAlign w:val="center"/>
          </w:tcPr>
          <w:p w14:paraId="213B207F" w14:textId="699C43AC" w:rsidR="00CC3F15" w:rsidRPr="00B33D61" w:rsidRDefault="00CC3F15" w:rsidP="00DC0294">
            <w:pPr>
              <w:jc w:val="center"/>
              <w:rPr>
                <w:rFonts w:ascii="Arial" w:hAnsi="Arial" w:cs="Arial"/>
              </w:rPr>
            </w:pPr>
            <w:r>
              <w:rPr>
                <w:rFonts w:ascii="Arial" w:hAnsi="Arial" w:cs="Arial"/>
              </w:rPr>
              <w:t>P</w:t>
            </w:r>
            <w:r w:rsidR="00DC0294">
              <w:rPr>
                <w:rFonts w:ascii="Arial" w:hAnsi="Arial" w:cs="Arial"/>
              </w:rPr>
              <w:t>ositivo</w:t>
            </w:r>
          </w:p>
        </w:tc>
        <w:tc>
          <w:tcPr>
            <w:tcW w:w="5336" w:type="dxa"/>
            <w:tcBorders>
              <w:bottom w:val="single" w:sz="4" w:space="0" w:color="auto"/>
            </w:tcBorders>
          </w:tcPr>
          <w:p w14:paraId="745A6FFD" w14:textId="5D1B1EE4" w:rsidR="00CC3F15" w:rsidRPr="00B33D61" w:rsidRDefault="00DC0294" w:rsidP="002D0203">
            <w:pPr>
              <w:jc w:val="both"/>
              <w:rPr>
                <w:rFonts w:ascii="Arial" w:hAnsi="Arial" w:cs="Arial"/>
              </w:rPr>
            </w:pPr>
            <w:r>
              <w:rPr>
                <w:rFonts w:ascii="Arial" w:hAnsi="Arial" w:cs="Arial"/>
              </w:rPr>
              <w:t>Quanto maior a população</w:t>
            </w:r>
            <w:r w:rsidR="005B2786">
              <w:rPr>
                <w:rFonts w:ascii="Arial" w:hAnsi="Arial" w:cs="Arial"/>
              </w:rPr>
              <w:t>,</w:t>
            </w:r>
            <w:r>
              <w:rPr>
                <w:rFonts w:ascii="Arial" w:hAnsi="Arial" w:cs="Arial"/>
              </w:rPr>
              <w:t xml:space="preserve"> maior é o número de trabalhadores em potencial, assim, espera-se que quanto maior a população de uma região maior seja sua capacidade de geração de renda.</w:t>
            </w:r>
          </w:p>
        </w:tc>
      </w:tr>
    </w:tbl>
    <w:p w14:paraId="2D6CCF22" w14:textId="3A75666A" w:rsidR="00CC3F15" w:rsidRDefault="00CC3F15" w:rsidP="007419FD">
      <w:pPr>
        <w:spacing w:line="360" w:lineRule="auto"/>
        <w:jc w:val="both"/>
        <w:rPr>
          <w:rFonts w:ascii="Arial" w:hAnsi="Arial" w:cs="Arial"/>
          <w:b/>
          <w:bCs/>
        </w:rPr>
      </w:pPr>
    </w:p>
    <w:p w14:paraId="017AE89F" w14:textId="16E7AF0E" w:rsidR="000C1019" w:rsidRDefault="00DC0294" w:rsidP="00DC0294">
      <w:pPr>
        <w:spacing w:line="360" w:lineRule="auto"/>
        <w:jc w:val="both"/>
        <w:rPr>
          <w:rFonts w:ascii="Arial" w:hAnsi="Arial" w:cs="Arial"/>
        </w:rPr>
      </w:pPr>
      <w:r>
        <w:rPr>
          <w:rFonts w:ascii="Arial" w:hAnsi="Arial" w:cs="Arial"/>
          <w:b/>
          <w:bCs/>
        </w:rPr>
        <w:tab/>
      </w:r>
      <w:r>
        <w:rPr>
          <w:rFonts w:ascii="Arial" w:hAnsi="Arial" w:cs="Arial"/>
        </w:rPr>
        <w:t xml:space="preserve">Com relação aos indicadores de descentralização descritos anteriormente, espera-se, em decorrência da previsão teórica, que tenham sinal positivo, ou seja, quanto maior o nível de descentralização maior o crescimento o PIB </w:t>
      </w:r>
      <w:r>
        <w:rPr>
          <w:rFonts w:ascii="Arial" w:hAnsi="Arial" w:cs="Arial"/>
          <w:i/>
          <w:iCs/>
        </w:rPr>
        <w:t>per capita</w:t>
      </w:r>
      <w:r>
        <w:rPr>
          <w:rFonts w:ascii="Arial" w:hAnsi="Arial" w:cs="Arial"/>
        </w:rPr>
        <w:t>. É importante ressaltar que, como descrito na seção Fundamentação Teórica, há a possibilidade de influência negativa do nível de descentralização no crescimento econômico, e além disso o tipo de descentralização também é importante. Assim, é possível que para uma mesma região os indicadores de descentralização baseados na capacidade de gasto tenham sinal contrário daqueles baseados na capacidade de arrecadar receitas.</w:t>
      </w:r>
    </w:p>
    <w:p w14:paraId="513365C8" w14:textId="77777777" w:rsidR="00842826" w:rsidRPr="00DC0294" w:rsidRDefault="00842826" w:rsidP="00DC0294">
      <w:pPr>
        <w:spacing w:line="360" w:lineRule="auto"/>
        <w:jc w:val="both"/>
        <w:rPr>
          <w:rFonts w:ascii="Arial" w:hAnsi="Arial" w:cs="Arial"/>
        </w:rPr>
      </w:pPr>
    </w:p>
    <w:p w14:paraId="09110BD9" w14:textId="1C943852" w:rsidR="005B51EC" w:rsidRPr="006140C8" w:rsidRDefault="005B51EC" w:rsidP="00802836">
      <w:pPr>
        <w:pStyle w:val="Subttulo"/>
      </w:pPr>
      <w:bookmarkStart w:id="14" w:name="_Toc16492066"/>
      <w:r w:rsidRPr="006140C8">
        <w:t xml:space="preserve">4.2 </w:t>
      </w:r>
      <w:r w:rsidR="0049714C" w:rsidRPr="006140C8">
        <w:t>Modelo econométrico</w:t>
      </w:r>
      <w:r w:rsidR="009A79D2" w:rsidRPr="006140C8">
        <w:t xml:space="preserve"> de d</w:t>
      </w:r>
      <w:r w:rsidR="000B788D" w:rsidRPr="006140C8">
        <w:t xml:space="preserve">ados em </w:t>
      </w:r>
      <w:r w:rsidR="009A79D2" w:rsidRPr="006140C8">
        <w:t>p</w:t>
      </w:r>
      <w:r w:rsidR="000B788D" w:rsidRPr="006140C8">
        <w:t>ainel</w:t>
      </w:r>
      <w:r w:rsidR="009A79D2" w:rsidRPr="006140C8">
        <w:t xml:space="preserve"> estático</w:t>
      </w:r>
      <w:bookmarkEnd w:id="14"/>
    </w:p>
    <w:p w14:paraId="5253CAD7" w14:textId="77777777" w:rsidR="000B788D" w:rsidRDefault="000B788D" w:rsidP="007419FD">
      <w:pPr>
        <w:spacing w:line="360" w:lineRule="auto"/>
        <w:jc w:val="both"/>
        <w:rPr>
          <w:rFonts w:ascii="Arial" w:hAnsi="Arial" w:cs="Arial"/>
        </w:rPr>
      </w:pPr>
    </w:p>
    <w:p w14:paraId="7D415928" w14:textId="77777777" w:rsidR="0049714C" w:rsidRPr="0049714C" w:rsidRDefault="00277BF6" w:rsidP="0049714C">
      <w:pPr>
        <w:spacing w:line="360" w:lineRule="auto"/>
        <w:jc w:val="both"/>
        <w:rPr>
          <w:rFonts w:ascii="Arial" w:hAnsi="Arial" w:cs="Arial"/>
        </w:rPr>
      </w:pPr>
      <w:r>
        <w:rPr>
          <w:rFonts w:ascii="Arial" w:hAnsi="Arial" w:cs="Arial"/>
        </w:rPr>
        <w:tab/>
      </w:r>
      <w:r w:rsidR="0049714C" w:rsidRPr="0049714C">
        <w:rPr>
          <w:rFonts w:ascii="Arial" w:hAnsi="Arial" w:cs="Arial"/>
        </w:rPr>
        <w:t xml:space="preserve">Dados em painel consistem na combinação de dados em </w:t>
      </w:r>
      <w:r w:rsidR="0049714C" w:rsidRPr="0049714C">
        <w:rPr>
          <w:rFonts w:ascii="Arial" w:hAnsi="Arial" w:cs="Arial"/>
          <w:i/>
        </w:rPr>
        <w:t>cross-section</w:t>
      </w:r>
      <w:r w:rsidR="0049714C" w:rsidRPr="0049714C">
        <w:rPr>
          <w:rFonts w:ascii="Arial" w:hAnsi="Arial" w:cs="Arial"/>
        </w:rPr>
        <w:t xml:space="preserve"> (corte transversal) e dados em séries temporais. Conforme argumenta Maddala (2003, p. 308), “o termo dados em painel refere-se aos conjuntos de dados que se tem sobre o mesmo indivíduo ao longo de vários períodos de tempo”.</w:t>
      </w:r>
    </w:p>
    <w:p w14:paraId="4F065CA6" w14:textId="77777777"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De acordo com Hsiao (2003), os modelos econométricos para dados em painel oferecem uma série de vantagens em relação aos modelos econométricos que usam dados em </w:t>
      </w:r>
      <w:r w:rsidRPr="0049714C">
        <w:rPr>
          <w:rFonts w:ascii="Arial" w:hAnsi="Arial" w:cs="Arial"/>
          <w:i/>
        </w:rPr>
        <w:t>cross-section</w:t>
      </w:r>
      <w:r w:rsidRPr="0049714C">
        <w:rPr>
          <w:rFonts w:ascii="Arial" w:hAnsi="Arial" w:cs="Arial"/>
        </w:rPr>
        <w:t xml:space="preserve"> ou em séries temporais, sendo que uma dessas vantagens se refere ao fato de que modelos para dados em painel controlam a heterogeneidade presente nos indivíduos. Além disso, eles permitem o uso de mais observações, aumentando o número de graus de liberdade e, em consequência, mais variabilidade e menos colinearidade entre as variáveis explicativas, o que reduz o viés nas estimativas. Sabe-se que, quando existe multicolinearidade, torna-se difícil estabelecer se um regressor individual influencia a variável dependente. Mas uma vez eliminado esse </w:t>
      </w:r>
      <w:r w:rsidRPr="0049714C">
        <w:rPr>
          <w:rFonts w:ascii="Arial" w:hAnsi="Arial" w:cs="Arial"/>
        </w:rPr>
        <w:lastRenderedPageBreak/>
        <w:t xml:space="preserve">problema, pode-se obter uma melhora na qualidade da estimação dos parâmetros. </w:t>
      </w:r>
    </w:p>
    <w:p w14:paraId="421D35BB" w14:textId="77777777"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Baltagi (2013) destaca que outro importante benefício no uso da econometria de dados em painel é a capacidade de identificar e mensurar alguns efeitos que não são possíveis de se verificar com o uso de séries temporais ou dados em </w:t>
      </w:r>
      <w:r w:rsidRPr="0049714C">
        <w:rPr>
          <w:rFonts w:ascii="Arial" w:hAnsi="Arial" w:cs="Arial"/>
          <w:i/>
        </w:rPr>
        <w:t>cross-section</w:t>
      </w:r>
      <w:r w:rsidRPr="0049714C">
        <w:rPr>
          <w:rFonts w:ascii="Arial" w:hAnsi="Arial" w:cs="Arial"/>
        </w:rPr>
        <w:t xml:space="preserve">. Dessa forma, o modelo econométrico em dados de painel permite captar o efeito de variáveis que normalmente seriam omitidas caso se utilizassem modelos econométricos com o uso de séries temporais ou análise de regressões com dados em </w:t>
      </w:r>
      <w:r w:rsidRPr="0049714C">
        <w:rPr>
          <w:rFonts w:ascii="Arial" w:hAnsi="Arial" w:cs="Arial"/>
          <w:i/>
        </w:rPr>
        <w:t>cross-section</w:t>
      </w:r>
      <w:r w:rsidRPr="0049714C">
        <w:rPr>
          <w:rFonts w:ascii="Arial" w:hAnsi="Arial" w:cs="Arial"/>
        </w:rPr>
        <w:t>.</w:t>
      </w:r>
    </w:p>
    <w:p w14:paraId="75A31036" w14:textId="229AC264" w:rsidR="0049714C" w:rsidRPr="0049714C" w:rsidRDefault="0049714C" w:rsidP="0049714C">
      <w:pPr>
        <w:spacing w:line="360" w:lineRule="auto"/>
        <w:ind w:firstLine="708"/>
        <w:jc w:val="both"/>
        <w:rPr>
          <w:rFonts w:ascii="Arial" w:hAnsi="Arial" w:cs="Arial"/>
        </w:rPr>
      </w:pPr>
      <w:r w:rsidRPr="0049714C">
        <w:rPr>
          <w:rFonts w:ascii="Arial" w:hAnsi="Arial" w:cs="Arial"/>
        </w:rPr>
        <w:t>Entretanto, conforme argumenta Hsiao (2003), como as variáveis são analisadas no tempo, os dados em painel exigem um grande número de observações para que os parâmetros estimados sejam assint</w:t>
      </w:r>
      <w:r w:rsidR="00F00DB0">
        <w:rPr>
          <w:rFonts w:ascii="Arial" w:hAnsi="Arial" w:cs="Arial"/>
        </w:rPr>
        <w:t>o</w:t>
      </w:r>
      <w:r w:rsidRPr="0049714C">
        <w:rPr>
          <w:rFonts w:ascii="Arial" w:hAnsi="Arial" w:cs="Arial"/>
        </w:rPr>
        <w:t>ticamente consistentes. Todavia, quando o período de tempo analisado é pequeno, a propriedade de consistência somente será satisfeita se o número de indivíduos for grande. Por essa razão, os resultados aqui obtidos são limitados e devem ser analisados com cautela uma vez que se trabalha com dados para os anos de 2000 e 2010.</w:t>
      </w:r>
    </w:p>
    <w:p w14:paraId="0BB1DA30" w14:textId="77777777" w:rsidR="0049714C" w:rsidRPr="0049714C" w:rsidRDefault="0049714C" w:rsidP="0049714C">
      <w:pPr>
        <w:spacing w:line="360" w:lineRule="auto"/>
        <w:ind w:firstLine="708"/>
        <w:jc w:val="both"/>
        <w:rPr>
          <w:rFonts w:ascii="Arial" w:eastAsiaTheme="minorEastAsia" w:hAnsi="Arial" w:cs="Arial"/>
        </w:rPr>
      </w:pPr>
      <w:r w:rsidRPr="0049714C">
        <w:rPr>
          <w:rFonts w:ascii="Arial" w:eastAsiaTheme="minorEastAsia" w:hAnsi="Arial" w:cs="Arial"/>
        </w:rPr>
        <w:t>Considere o seguinte modelo econométrico estático de dados em painel:</w:t>
      </w:r>
    </w:p>
    <w:p w14:paraId="410C0C93" w14:textId="77777777" w:rsidR="0049714C" w:rsidRPr="0049714C" w:rsidRDefault="0049714C" w:rsidP="0049714C">
      <w:pPr>
        <w:spacing w:line="360" w:lineRule="auto"/>
        <w:jc w:val="both"/>
        <w:rPr>
          <w:rFonts w:ascii="Arial" w:eastAsiaTheme="minorEastAsia" w:hAnsi="Arial" w:cs="Arial"/>
        </w:rPr>
      </w:pPr>
    </w:p>
    <w:p w14:paraId="064B3288" w14:textId="3ACC2A89" w:rsidR="0049714C" w:rsidRPr="0049714C" w:rsidRDefault="00854093" w:rsidP="0049714C">
      <w:pPr>
        <w:spacing w:line="360" w:lineRule="auto"/>
        <w:contextualSpacing/>
        <w:jc w:val="both"/>
        <w:rPr>
          <w:rFonts w:ascii="Arial" w:eastAsiaTheme="minorEastAsia" w:hAnsi="Arial" w:cs="Arial"/>
        </w:rPr>
      </w:pPr>
      <m:oMathPara>
        <m:oMathParaPr>
          <m:jc m:val="left"/>
        </m:oMathParaPr>
        <m:oMath>
          <m:sSub>
            <m:sSubPr>
              <m:ctrlPr>
                <w:rPr>
                  <w:rFonts w:ascii="Cambria Math" w:hAnsi="Cambria Math" w:cs="Arial"/>
                  <w:i/>
                </w:rPr>
              </m:ctrlPr>
            </m:sSubPr>
            <m:e>
              <m:r>
                <w:rPr>
                  <w:rFonts w:ascii="Cambria Math" w:hAnsi="Cambria Math" w:cs="Arial"/>
                </w:rPr>
                <m:t>y</m:t>
              </m:r>
            </m:e>
            <m:sub>
              <m:r>
                <w:rPr>
                  <w:rFonts w:ascii="Cambria Math" w:hAnsi="Cambria Math" w:cs="Arial"/>
                </w:rPr>
                <m:t>it</m:t>
              </m:r>
            </m:sub>
          </m:sSub>
          <m:r>
            <w:rPr>
              <w:rFonts w:ascii="Cambria Math" w:hAnsi="Cambria Math" w:cs="Arial"/>
            </w:rPr>
            <m:t>=μ+</m:t>
          </m:r>
          <m:sSub>
            <m:sSubPr>
              <m:ctrlPr>
                <w:rPr>
                  <w:rFonts w:ascii="Cambria Math" w:hAnsi="Cambria Math" w:cs="Arial"/>
                  <w:i/>
                </w:rPr>
              </m:ctrlPr>
            </m:sSubPr>
            <m:e>
              <m:r>
                <w:rPr>
                  <w:rFonts w:ascii="Cambria Math" w:hAnsi="Cambria Math" w:cs="Arial"/>
                </w:rPr>
                <m:t>x'</m:t>
              </m:r>
            </m:e>
            <m:sub>
              <m:r>
                <w:rPr>
                  <w:rFonts w:ascii="Cambria Math" w:hAnsi="Cambria Math" w:cs="Arial"/>
                </w:rPr>
                <m:t>it</m:t>
              </m:r>
            </m:sub>
          </m:sSub>
          <m:r>
            <w:rPr>
              <w:rFonts w:ascii="Cambria Math" w:hAnsi="Cambria Math" w:cs="Arial"/>
            </w:rPr>
            <m:t>β+</m:t>
          </m:r>
          <m:sSub>
            <m:sSubPr>
              <m:ctrlPr>
                <w:rPr>
                  <w:rFonts w:ascii="Cambria Math" w:hAnsi="Cambria Math" w:cs="Arial"/>
                  <w:i/>
                </w:rPr>
              </m:ctrlPr>
            </m:sSubPr>
            <m:e>
              <m:r>
                <w:rPr>
                  <w:rFonts w:ascii="Cambria Math" w:hAnsi="Cambria Math" w:cs="Arial"/>
                </w:rPr>
                <m:t>δ</m:t>
              </m:r>
            </m:e>
            <m:sub>
              <m:r>
                <w:rPr>
                  <w:rFonts w:ascii="Cambria Math" w:hAnsi="Cambria Math" w:cs="Arial"/>
                </w:rPr>
                <m:t>t</m:t>
              </m:r>
            </m:sub>
          </m:sSub>
          <m:r>
            <w:rPr>
              <w:rFonts w:ascii="Cambria Math" w:hAnsi="Cambria Math" w:cs="Arial"/>
            </w:rPr>
            <m:t>+</m:t>
          </m:r>
          <m:limLow>
            <m:limLowPr>
              <m:ctrlPr>
                <w:rPr>
                  <w:rFonts w:ascii="Cambria Math" w:hAnsi="Cambria Math" w:cs="Arial"/>
                  <w:i/>
                </w:rPr>
              </m:ctrlPr>
            </m:limLowPr>
            <m:e>
              <m:groupChr>
                <m:groupChrPr>
                  <m:ctrlPr>
                    <w:rPr>
                      <w:rFonts w:ascii="Cambria Math" w:hAnsi="Cambria Math" w:cs="Arial"/>
                      <w:i/>
                    </w:rPr>
                  </m:ctrlPr>
                </m:groupChrPr>
                <m:e>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w:rPr>
                          <w:rFonts w:ascii="Cambria Math" w:hAnsi="Cambria Math" w:cs="Arial"/>
                        </w:rPr>
                        <m:t>ν</m:t>
                      </m:r>
                    </m:e>
                    <m:sub>
                      <m:r>
                        <w:rPr>
                          <w:rFonts w:ascii="Cambria Math" w:hAnsi="Cambria Math" w:cs="Arial"/>
                        </w:rPr>
                        <m:t>it</m:t>
                      </m:r>
                    </m:sub>
                  </m:sSub>
                </m:e>
              </m:groupChr>
            </m:e>
            <m:lim>
              <m:sSub>
                <m:sSubPr>
                  <m:ctrlPr>
                    <w:rPr>
                      <w:rFonts w:ascii="Cambria Math" w:hAnsi="Cambria Math" w:cs="Arial"/>
                      <w:i/>
                    </w:rPr>
                  </m:ctrlPr>
                </m:sSubPr>
                <m:e>
                  <m:r>
                    <w:rPr>
                      <w:rFonts w:ascii="Cambria Math" w:hAnsi="Cambria Math" w:cs="Arial"/>
                    </w:rPr>
                    <m:t>ε</m:t>
                  </m:r>
                </m:e>
                <m:sub>
                  <m:r>
                    <w:rPr>
                      <w:rFonts w:ascii="Cambria Math" w:hAnsi="Cambria Math" w:cs="Arial"/>
                    </w:rPr>
                    <m:t>it</m:t>
                  </m:r>
                </m:sub>
              </m:sSub>
            </m:lim>
          </m:limLow>
          <m:r>
            <w:rPr>
              <w:rFonts w:ascii="Cambria Math" w:hAnsi="Cambria Math" w:cs="Arial"/>
            </w:rPr>
            <m:t xml:space="preserve">      i=1, 2, …, N; t=1, 2, …,T                                    </m:t>
          </m:r>
          <m:d>
            <m:dPr>
              <m:ctrlPr>
                <w:rPr>
                  <w:rFonts w:ascii="Cambria Math" w:hAnsi="Cambria Math" w:cs="Arial"/>
                  <w:i/>
                </w:rPr>
              </m:ctrlPr>
            </m:dPr>
            <m:e>
              <m:r>
                <w:rPr>
                  <w:rFonts w:ascii="Cambria Math" w:hAnsi="Cambria Math" w:cs="Arial"/>
                </w:rPr>
                <m:t>2</m:t>
              </m:r>
            </m:e>
          </m:d>
        </m:oMath>
      </m:oMathPara>
    </w:p>
    <w:p w14:paraId="0DDE37B1" w14:textId="2BE0D8FD" w:rsidR="0049714C" w:rsidRDefault="0049714C" w:rsidP="0049714C">
      <w:pPr>
        <w:spacing w:line="360" w:lineRule="auto"/>
        <w:jc w:val="both"/>
        <w:rPr>
          <w:rFonts w:ascii="Arial" w:hAnsi="Arial" w:cs="Arial"/>
        </w:rPr>
      </w:pPr>
      <w:r w:rsidRPr="0049714C">
        <w:rPr>
          <w:rFonts w:ascii="Arial" w:hAnsi="Arial" w:cs="Arial"/>
        </w:rPr>
        <w:t>Em que:</w:t>
      </w:r>
    </w:p>
    <w:p w14:paraId="6BF136E0" w14:textId="77777777" w:rsidR="0049714C" w:rsidRPr="0049714C" w:rsidRDefault="0049714C" w:rsidP="0049714C">
      <w:pPr>
        <w:spacing w:line="360" w:lineRule="auto"/>
        <w:jc w:val="both"/>
        <w:rPr>
          <w:rFonts w:ascii="Arial" w:hAnsi="Arial" w:cs="Arial"/>
        </w:rPr>
      </w:pPr>
    </w:p>
    <w:p w14:paraId="210B4231" w14:textId="77777777" w:rsidR="0049714C" w:rsidRPr="0049714C" w:rsidRDefault="0049714C" w:rsidP="0049714C">
      <w:pPr>
        <w:spacing w:line="360" w:lineRule="auto"/>
        <w:jc w:val="both"/>
        <w:rPr>
          <w:rFonts w:ascii="Arial" w:hAnsi="Arial" w:cs="Arial"/>
        </w:rPr>
      </w:pPr>
      <w:r w:rsidRPr="0049714C">
        <w:rPr>
          <w:rFonts w:ascii="Arial" w:hAnsi="Arial" w:cs="Arial"/>
        </w:rPr>
        <w:t xml:space="preserve">O subscrito </w:t>
      </w:r>
      <w:r w:rsidRPr="0049714C">
        <w:rPr>
          <w:rFonts w:ascii="Arial" w:hAnsi="Arial" w:cs="Arial"/>
          <w:i/>
        </w:rPr>
        <w:t>i</w:t>
      </w:r>
      <w:r w:rsidRPr="0049714C">
        <w:rPr>
          <w:rFonts w:ascii="Arial" w:hAnsi="Arial" w:cs="Arial"/>
        </w:rPr>
        <w:t xml:space="preserve"> se refere à entidade em observação, ao passo que o subscrito </w:t>
      </w:r>
      <w:r w:rsidRPr="0049714C">
        <w:rPr>
          <w:rFonts w:ascii="Arial" w:hAnsi="Arial" w:cs="Arial"/>
          <w:i/>
        </w:rPr>
        <w:t>t</w:t>
      </w:r>
      <w:r w:rsidRPr="0049714C">
        <w:rPr>
          <w:rFonts w:ascii="Arial" w:hAnsi="Arial" w:cs="Arial"/>
        </w:rPr>
        <w:t xml:space="preserve"> se refere à data (período de tempo) em que essa entidade foi observada. Por exemplo, o termo </w:t>
      </w:r>
      <m:oMath>
        <m:sSub>
          <m:sSubPr>
            <m:ctrlPr>
              <w:rPr>
                <w:rFonts w:ascii="Cambria Math" w:hAnsi="Cambria Math" w:cs="Arial"/>
                <w:i/>
              </w:rPr>
            </m:ctrlPr>
          </m:sSubPr>
          <m:e>
            <m:r>
              <w:rPr>
                <w:rFonts w:ascii="Cambria Math" w:hAnsi="Cambria Math" w:cs="Arial"/>
              </w:rPr>
              <m:t>y</m:t>
            </m:r>
          </m:e>
          <m:sub>
            <m:r>
              <w:rPr>
                <w:rFonts w:ascii="Cambria Math" w:hAnsi="Cambria Math" w:cs="Arial"/>
              </w:rPr>
              <m:t>it</m:t>
            </m:r>
          </m:sub>
        </m:sSub>
      </m:oMath>
      <w:r w:rsidRPr="0049714C">
        <w:rPr>
          <w:rFonts w:ascii="Arial" w:hAnsi="Arial" w:cs="Arial"/>
        </w:rPr>
        <w:t xml:space="preserve"> representa a variável </w:t>
      </w:r>
      <w:r w:rsidRPr="0049714C">
        <w:rPr>
          <w:rFonts w:ascii="Arial" w:hAnsi="Arial" w:cs="Arial"/>
          <w:i/>
        </w:rPr>
        <w:t>y</w:t>
      </w:r>
      <w:r w:rsidRPr="0049714C">
        <w:rPr>
          <w:rFonts w:ascii="Arial" w:hAnsi="Arial" w:cs="Arial"/>
        </w:rPr>
        <w:t xml:space="preserve"> observada para a </w:t>
      </w:r>
      <w:r w:rsidRPr="0049714C">
        <w:rPr>
          <w:rFonts w:ascii="Arial" w:hAnsi="Arial" w:cs="Arial"/>
          <w:i/>
        </w:rPr>
        <w:t>i</w:t>
      </w:r>
      <w:r w:rsidRPr="0049714C">
        <w:rPr>
          <w:rFonts w:ascii="Arial" w:hAnsi="Arial" w:cs="Arial"/>
        </w:rPr>
        <w:t xml:space="preserve">-ésima das </w:t>
      </w:r>
      <w:r w:rsidRPr="0049714C">
        <w:rPr>
          <w:rFonts w:ascii="Arial" w:hAnsi="Arial" w:cs="Arial"/>
          <w:i/>
        </w:rPr>
        <w:t>N</w:t>
      </w:r>
      <w:r w:rsidRPr="0049714C">
        <w:rPr>
          <w:rFonts w:ascii="Arial" w:hAnsi="Arial" w:cs="Arial"/>
        </w:rPr>
        <w:t xml:space="preserve"> entidades no </w:t>
      </w:r>
      <w:r w:rsidRPr="0049714C">
        <w:rPr>
          <w:rFonts w:ascii="Arial" w:hAnsi="Arial" w:cs="Arial"/>
          <w:i/>
        </w:rPr>
        <w:t>t</w:t>
      </w:r>
      <w:r w:rsidRPr="0049714C">
        <w:rPr>
          <w:rFonts w:ascii="Arial" w:hAnsi="Arial" w:cs="Arial"/>
        </w:rPr>
        <w:t xml:space="preserve">-ésimo dos T períodos. Portanto, dados em painel consistem de observações de </w:t>
      </w:r>
      <w:r w:rsidRPr="0049714C">
        <w:rPr>
          <w:rFonts w:ascii="Arial" w:hAnsi="Arial" w:cs="Arial"/>
          <w:i/>
        </w:rPr>
        <w:t>N</w:t>
      </w:r>
      <w:r w:rsidRPr="0049714C">
        <w:rPr>
          <w:rFonts w:ascii="Arial" w:hAnsi="Arial" w:cs="Arial"/>
        </w:rPr>
        <w:t xml:space="preserve"> entidades diferentes (por exemplo, escolas, cidades, estados, municípios, empresas, indivíduos etc.) observadas em </w:t>
      </w:r>
      <w:r w:rsidRPr="0049714C">
        <w:rPr>
          <w:rFonts w:ascii="Arial" w:hAnsi="Arial" w:cs="Arial"/>
          <w:i/>
        </w:rPr>
        <w:t>T</w:t>
      </w:r>
      <w:r w:rsidRPr="0049714C">
        <w:rPr>
          <w:rFonts w:ascii="Arial" w:hAnsi="Arial" w:cs="Arial"/>
        </w:rPr>
        <w:t xml:space="preserve"> períodos de tempo diferentes. </w:t>
      </w:r>
    </w:p>
    <w:p w14:paraId="47F710D1" w14:textId="77777777" w:rsidR="0049714C" w:rsidRPr="0049714C" w:rsidRDefault="00854093" w:rsidP="0049714C">
      <w:pPr>
        <w:spacing w:line="360" w:lineRule="auto"/>
        <w:jc w:val="both"/>
        <w:rPr>
          <w:rFonts w:ascii="Arial" w:hAnsi="Arial" w:cs="Arial"/>
        </w:rPr>
      </w:pPr>
      <m:oMath>
        <m:sSub>
          <m:sSubPr>
            <m:ctrlPr>
              <w:rPr>
                <w:rFonts w:ascii="Cambria Math" w:hAnsi="Cambria Math" w:cs="Arial"/>
                <w:i/>
              </w:rPr>
            </m:ctrlPr>
          </m:sSubPr>
          <m:e>
            <m:r>
              <w:rPr>
                <w:rFonts w:ascii="Cambria Math" w:hAnsi="Cambria Math" w:cs="Arial"/>
              </w:rPr>
              <m:t>y</m:t>
            </m:r>
          </m:e>
          <m:sub>
            <m:r>
              <w:rPr>
                <w:rFonts w:ascii="Cambria Math" w:hAnsi="Cambria Math" w:cs="Arial"/>
              </w:rPr>
              <m:t>it</m:t>
            </m:r>
          </m:sub>
        </m:sSub>
      </m:oMath>
      <w:r w:rsidR="0049714C" w:rsidRPr="0049714C">
        <w:rPr>
          <w:rFonts w:ascii="Arial" w:hAnsi="Arial" w:cs="Arial"/>
        </w:rPr>
        <w:t>: variável dependente.</w:t>
      </w:r>
    </w:p>
    <w:p w14:paraId="6C4CF28C" w14:textId="77777777" w:rsidR="0049714C" w:rsidRPr="0049714C" w:rsidRDefault="00854093" w:rsidP="0049714C">
      <w:pPr>
        <w:spacing w:line="360" w:lineRule="auto"/>
        <w:jc w:val="both"/>
        <w:rPr>
          <w:rFonts w:ascii="Arial" w:hAnsi="Arial" w:cs="Arial"/>
        </w:rPr>
      </w:pPr>
      <m:oMath>
        <m:sSub>
          <m:sSubPr>
            <m:ctrlPr>
              <w:rPr>
                <w:rFonts w:ascii="Cambria Math" w:hAnsi="Cambria Math" w:cs="Arial"/>
                <w:i/>
              </w:rPr>
            </m:ctrlPr>
          </m:sSubPr>
          <m:e>
            <m:r>
              <w:rPr>
                <w:rFonts w:ascii="Cambria Math" w:hAnsi="Cambria Math" w:cs="Arial"/>
              </w:rPr>
              <m:t>x'</m:t>
            </m:r>
          </m:e>
          <m:sub>
            <m:r>
              <w:rPr>
                <w:rFonts w:ascii="Cambria Math" w:hAnsi="Cambria Math" w:cs="Arial"/>
              </w:rPr>
              <m:t>it</m:t>
            </m:r>
          </m:sub>
        </m:sSub>
        <m:r>
          <w:rPr>
            <w:rFonts w:ascii="Cambria Math" w:hAnsi="Cambria Math" w:cs="Arial"/>
          </w:rPr>
          <m:t>:</m:t>
        </m:r>
      </m:oMath>
      <w:r w:rsidR="0049714C" w:rsidRPr="0049714C">
        <w:rPr>
          <w:rFonts w:ascii="Arial" w:hAnsi="Arial" w:cs="Arial"/>
        </w:rPr>
        <w:t xml:space="preserve"> vetor </w:t>
      </w:r>
      <m:oMath>
        <m:r>
          <w:rPr>
            <w:rFonts w:ascii="Cambria Math" w:hAnsi="Cambria Math" w:cs="Arial"/>
          </w:rPr>
          <m:t>k×1</m:t>
        </m:r>
      </m:oMath>
      <w:r w:rsidR="0049714C" w:rsidRPr="0049714C">
        <w:rPr>
          <w:rFonts w:ascii="Arial" w:hAnsi="Arial" w:cs="Arial"/>
        </w:rPr>
        <w:t xml:space="preserve"> de variáveis explicativas (regressores). </w:t>
      </w:r>
    </w:p>
    <w:p w14:paraId="5F01CFC8" w14:textId="77777777" w:rsidR="0049714C" w:rsidRPr="0049714C" w:rsidRDefault="0049714C" w:rsidP="0049714C">
      <w:pPr>
        <w:spacing w:line="360" w:lineRule="auto"/>
        <w:jc w:val="both"/>
        <w:rPr>
          <w:rFonts w:ascii="Arial" w:eastAsiaTheme="minorEastAsia" w:hAnsi="Arial" w:cs="Arial"/>
        </w:rPr>
      </w:pPr>
      <m:oMath>
        <m:r>
          <w:rPr>
            <w:rFonts w:ascii="Cambria Math" w:hAnsi="Cambria Math" w:cs="Arial"/>
          </w:rPr>
          <m:t>μ</m:t>
        </m:r>
      </m:oMath>
      <w:r w:rsidRPr="0049714C">
        <w:rPr>
          <w:rFonts w:ascii="Arial" w:eastAsiaTheme="minorEastAsia" w:hAnsi="Arial" w:cs="Arial"/>
        </w:rPr>
        <w:t>: constante.</w:t>
      </w:r>
    </w:p>
    <w:p w14:paraId="638D0D49" w14:textId="77777777" w:rsidR="0049714C" w:rsidRPr="0049714C" w:rsidRDefault="00854093" w:rsidP="0049714C">
      <w:pPr>
        <w:spacing w:line="360" w:lineRule="auto"/>
        <w:jc w:val="both"/>
        <w:rPr>
          <w:rFonts w:ascii="Arial" w:hAnsi="Arial" w:cs="Arial"/>
        </w:rPr>
      </w:pPr>
      <m:oMath>
        <m:sSub>
          <m:sSubPr>
            <m:ctrlPr>
              <w:rPr>
                <w:rFonts w:ascii="Cambria Math" w:hAnsi="Cambria Math" w:cs="Arial"/>
                <w:i/>
              </w:rPr>
            </m:ctrlPr>
          </m:sSubPr>
          <m:e>
            <m:r>
              <w:rPr>
                <w:rFonts w:ascii="Cambria Math" w:hAnsi="Cambria Math" w:cs="Arial"/>
              </w:rPr>
              <m:t>δ</m:t>
            </m:r>
          </m:e>
          <m:sub>
            <m:r>
              <w:rPr>
                <w:rFonts w:ascii="Cambria Math" w:hAnsi="Cambria Math" w:cs="Arial"/>
              </w:rPr>
              <m:t>t</m:t>
            </m:r>
          </m:sub>
        </m:sSub>
      </m:oMath>
      <w:r w:rsidR="0049714C" w:rsidRPr="0049714C">
        <w:rPr>
          <w:rFonts w:ascii="Arial" w:hAnsi="Arial" w:cs="Arial"/>
        </w:rPr>
        <w:t xml:space="preserve">: vetor de variáveis </w:t>
      </w:r>
      <w:r w:rsidR="0049714C" w:rsidRPr="0049714C">
        <w:rPr>
          <w:rFonts w:ascii="Arial" w:hAnsi="Arial" w:cs="Arial"/>
          <w:i/>
        </w:rPr>
        <w:t>dummies</w:t>
      </w:r>
      <w:r w:rsidR="0049714C" w:rsidRPr="0049714C">
        <w:rPr>
          <w:rFonts w:ascii="Arial" w:hAnsi="Arial" w:cs="Arial"/>
        </w:rPr>
        <w:t xml:space="preserve"> de tempo, mas não muda ao longo de </w:t>
      </w:r>
      <w:r w:rsidR="0049714C" w:rsidRPr="0049714C">
        <w:rPr>
          <w:rFonts w:ascii="Arial" w:hAnsi="Arial" w:cs="Arial"/>
          <w:i/>
        </w:rPr>
        <w:t>i</w:t>
      </w:r>
      <w:r w:rsidR="0049714C" w:rsidRPr="0049714C">
        <w:rPr>
          <w:rFonts w:ascii="Arial" w:hAnsi="Arial" w:cs="Arial"/>
        </w:rPr>
        <w:t xml:space="preserve">, motivo pelo qual não tem o subscrito </w:t>
      </w:r>
      <w:r w:rsidR="0049714C" w:rsidRPr="0049714C">
        <w:rPr>
          <w:rFonts w:ascii="Arial" w:hAnsi="Arial" w:cs="Arial"/>
          <w:i/>
        </w:rPr>
        <w:t>i</w:t>
      </w:r>
      <w:r w:rsidR="0049714C" w:rsidRPr="0049714C">
        <w:rPr>
          <w:rFonts w:ascii="Arial" w:hAnsi="Arial" w:cs="Arial"/>
        </w:rPr>
        <w:t>.</w:t>
      </w:r>
    </w:p>
    <w:p w14:paraId="35439D5C" w14:textId="6E451999" w:rsidR="0049714C" w:rsidRPr="0049714C" w:rsidRDefault="00854093" w:rsidP="0049714C">
      <w:pPr>
        <w:spacing w:line="360" w:lineRule="auto"/>
        <w:jc w:val="both"/>
        <w:rPr>
          <w:rFonts w:ascii="Arial" w:hAnsi="Arial" w:cs="Arial"/>
        </w:rPr>
      </w:pPr>
      <m:oMath>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oMath>
      <w:r w:rsidR="0049714C" w:rsidRPr="0049714C">
        <w:rPr>
          <w:rFonts w:ascii="Arial" w:eastAsiaTheme="minorEastAsia" w:hAnsi="Arial" w:cs="Arial"/>
        </w:rPr>
        <w:t xml:space="preserve">: </w:t>
      </w:r>
      <w:r w:rsidR="0049714C" w:rsidRPr="0049714C">
        <w:rPr>
          <w:rFonts w:ascii="Arial" w:hAnsi="Arial" w:cs="Arial"/>
        </w:rPr>
        <w:t>trata-se do efeito individual, efeito fixo, heterogeneidade não observada</w:t>
      </w:r>
      <w:r w:rsidR="0049714C" w:rsidRPr="00D94D11">
        <w:rPr>
          <w:rFonts w:ascii="Arial" w:hAnsi="Arial" w:cs="Arial"/>
          <w:vertAlign w:val="superscript"/>
        </w:rPr>
        <w:footnoteReference w:id="11"/>
      </w:r>
      <w:r w:rsidR="0049714C" w:rsidRPr="0049714C">
        <w:rPr>
          <w:rFonts w:ascii="Arial" w:hAnsi="Arial" w:cs="Arial"/>
        </w:rPr>
        <w:t xml:space="preserve">, efeito não observável invariante no tempo, componente específico do erro agregado, variável latente. Capta todos os fatores não observados, constantes no tempo, que afetam a variável dependente </w:t>
      </w:r>
      <m:oMath>
        <m:sSub>
          <m:sSubPr>
            <m:ctrlPr>
              <w:rPr>
                <w:rFonts w:ascii="Cambria Math" w:hAnsi="Cambria Math" w:cs="Arial"/>
              </w:rPr>
            </m:ctrlPr>
          </m:sSubPr>
          <m:e>
            <m:r>
              <w:rPr>
                <w:rFonts w:ascii="Cambria Math" w:hAnsi="Cambria Math" w:cs="Arial"/>
              </w:rPr>
              <m:t>y</m:t>
            </m:r>
          </m:e>
          <m:sub>
            <m:r>
              <w:rPr>
                <w:rFonts w:ascii="Cambria Math" w:hAnsi="Cambria Math" w:cs="Arial"/>
              </w:rPr>
              <m:t>it</m:t>
            </m:r>
          </m:sub>
        </m:sSub>
      </m:oMath>
      <w:r w:rsidR="0049714C" w:rsidRPr="0049714C">
        <w:rPr>
          <w:rFonts w:ascii="Arial" w:hAnsi="Arial" w:cs="Arial"/>
        </w:rPr>
        <w:t xml:space="preserve">. O fato de que </w:t>
      </w:r>
      <m:oMath>
        <m:sSub>
          <m:sSubPr>
            <m:ctrlPr>
              <w:rPr>
                <w:rFonts w:ascii="Cambria Math" w:hAnsi="Cambria Math" w:cs="Arial"/>
              </w:rPr>
            </m:ctrlPr>
          </m:sSubPr>
          <m:e>
            <m:r>
              <w:rPr>
                <w:rFonts w:ascii="Cambria Math" w:hAnsi="Cambria Math" w:cs="Arial"/>
              </w:rPr>
              <m:t>η</m:t>
            </m:r>
          </m:e>
          <m:sub>
            <m:r>
              <w:rPr>
                <w:rFonts w:ascii="Cambria Math" w:hAnsi="Cambria Math" w:cs="Arial"/>
              </w:rPr>
              <m:t>i</m:t>
            </m:r>
          </m:sub>
        </m:sSub>
      </m:oMath>
      <w:r w:rsidR="0049714C" w:rsidRPr="0049714C">
        <w:rPr>
          <w:rFonts w:ascii="Arial" w:hAnsi="Arial" w:cs="Arial"/>
        </w:rPr>
        <w:t xml:space="preserve"> não tem um subscrito t informa que esse termo não muda ao longo do tempo. Pode ser chamado de efeito fixo, uma vez que </w:t>
      </w:r>
      <m:oMath>
        <m:sSub>
          <m:sSubPr>
            <m:ctrlPr>
              <w:rPr>
                <w:rFonts w:ascii="Cambria Math" w:hAnsi="Cambria Math" w:cs="Arial"/>
              </w:rPr>
            </m:ctrlPr>
          </m:sSubPr>
          <m:e>
            <m:r>
              <w:rPr>
                <w:rFonts w:ascii="Cambria Math" w:hAnsi="Cambria Math" w:cs="Arial"/>
              </w:rPr>
              <m:t>η</m:t>
            </m:r>
          </m:e>
          <m:sub>
            <m:r>
              <w:rPr>
                <w:rFonts w:ascii="Cambria Math" w:hAnsi="Cambria Math" w:cs="Arial"/>
              </w:rPr>
              <m:t>i</m:t>
            </m:r>
          </m:sub>
        </m:sSub>
      </m:oMath>
      <w:r w:rsidR="0049714C" w:rsidRPr="0049714C">
        <w:rPr>
          <w:rFonts w:ascii="Arial" w:hAnsi="Arial" w:cs="Arial"/>
        </w:rPr>
        <w:t xml:space="preserve"> é fixo ao longo do tempo</w:t>
      </w:r>
      <w:r w:rsidR="0049714C" w:rsidRPr="00D94D11">
        <w:rPr>
          <w:rFonts w:ascii="Arial" w:hAnsi="Arial" w:cs="Arial"/>
          <w:vertAlign w:val="superscript"/>
        </w:rPr>
        <w:footnoteReference w:id="12"/>
      </w:r>
      <w:r w:rsidR="0049714C" w:rsidRPr="0049714C">
        <w:rPr>
          <w:rFonts w:ascii="Arial" w:hAnsi="Arial" w:cs="Arial"/>
        </w:rPr>
        <w:t>.</w:t>
      </w:r>
    </w:p>
    <w:p w14:paraId="67408B8A" w14:textId="77777777" w:rsidR="0049714C" w:rsidRDefault="00854093" w:rsidP="0049714C">
      <w:pPr>
        <w:spacing w:line="360" w:lineRule="auto"/>
        <w:jc w:val="both"/>
        <w:rPr>
          <w:rFonts w:ascii="Arial" w:hAnsi="Arial" w:cs="Arial"/>
        </w:rPr>
      </w:pPr>
      <m:oMath>
        <m:sSub>
          <m:sSubPr>
            <m:ctrlPr>
              <w:rPr>
                <w:rFonts w:ascii="Cambria Math" w:hAnsi="Cambria Math" w:cs="Arial"/>
                <w:i/>
              </w:rPr>
            </m:ctrlPr>
          </m:sSubPr>
          <m:e>
            <m:r>
              <w:rPr>
                <w:rFonts w:ascii="Cambria Math" w:hAnsi="Cambria Math" w:cs="Arial"/>
              </w:rPr>
              <m:t>ν</m:t>
            </m:r>
          </m:e>
          <m:sub>
            <m:r>
              <w:rPr>
                <w:rFonts w:ascii="Cambria Math" w:hAnsi="Cambria Math" w:cs="Arial"/>
              </w:rPr>
              <m:t>it</m:t>
            </m:r>
          </m:sub>
        </m:sSub>
      </m:oMath>
      <w:r w:rsidR="0049714C" w:rsidRPr="0049714C">
        <w:rPr>
          <w:rFonts w:ascii="Arial" w:hAnsi="Arial" w:cs="Arial"/>
        </w:rPr>
        <w:t xml:space="preserve">: choque transitório, choque não observável variante no tempo, componente comum do erro agregado. Também conhecido como erro idiossincrático ou erro de variação temporal, porque esse termo de erro representa fatores não observados que mudam ao longo do tempo e afetam a variável dependente </w:t>
      </w:r>
      <m:oMath>
        <m:sSub>
          <m:sSubPr>
            <m:ctrlPr>
              <w:rPr>
                <w:rFonts w:ascii="Cambria Math" w:hAnsi="Cambria Math" w:cs="Arial"/>
              </w:rPr>
            </m:ctrlPr>
          </m:sSubPr>
          <m:e>
            <m:r>
              <w:rPr>
                <w:rFonts w:ascii="Cambria Math" w:hAnsi="Cambria Math" w:cs="Arial"/>
              </w:rPr>
              <m:t>y</m:t>
            </m:r>
          </m:e>
          <m:sub>
            <m:r>
              <w:rPr>
                <w:rFonts w:ascii="Cambria Math" w:hAnsi="Cambria Math" w:cs="Arial"/>
              </w:rPr>
              <m:t>it</m:t>
            </m:r>
          </m:sub>
        </m:sSub>
      </m:oMath>
      <w:r w:rsidR="0049714C" w:rsidRPr="0049714C">
        <w:rPr>
          <w:rFonts w:ascii="Arial" w:hAnsi="Arial" w:cs="Arial"/>
        </w:rPr>
        <w:t xml:space="preserve">. </w:t>
      </w:r>
    </w:p>
    <w:p w14:paraId="7DF8A537" w14:textId="03EE47AE" w:rsidR="0049714C" w:rsidRPr="0049714C" w:rsidRDefault="0049714C" w:rsidP="0049714C">
      <w:pPr>
        <w:spacing w:line="360" w:lineRule="auto"/>
        <w:ind w:firstLine="708"/>
        <w:jc w:val="both"/>
        <w:rPr>
          <w:rFonts w:ascii="Arial" w:hAnsi="Arial" w:cs="Arial"/>
        </w:rPr>
      </w:pPr>
      <w:r w:rsidRPr="0049714C">
        <w:rPr>
          <w:rFonts w:ascii="Arial" w:hAnsi="Arial" w:cs="Arial"/>
        </w:rPr>
        <w:t>Esse termo de erro se assemelha bastante com os erros em uma equação de regressão de série temporal (WOOLDRIDGE, 2011, p. 429).</w:t>
      </w:r>
    </w:p>
    <w:p w14:paraId="46E7242B" w14:textId="77777777"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Os termos </w:t>
      </w:r>
      <m:oMath>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oMath>
      <w:r w:rsidRPr="0049714C">
        <w:rPr>
          <w:rFonts w:ascii="Arial" w:hAnsi="Arial" w:cs="Arial"/>
        </w:rPr>
        <w:t xml:space="preserve"> e </w:t>
      </w:r>
      <m:oMath>
        <m:sSub>
          <m:sSubPr>
            <m:ctrlPr>
              <w:rPr>
                <w:rFonts w:ascii="Cambria Math" w:hAnsi="Cambria Math" w:cs="Arial"/>
                <w:i/>
              </w:rPr>
            </m:ctrlPr>
          </m:sSubPr>
          <m:e>
            <m:r>
              <w:rPr>
                <w:rFonts w:ascii="Cambria Math" w:hAnsi="Cambria Math" w:cs="Arial"/>
              </w:rPr>
              <m:t>ν</m:t>
            </m:r>
          </m:e>
          <m:sub>
            <m:r>
              <w:rPr>
                <w:rFonts w:ascii="Cambria Math" w:hAnsi="Cambria Math" w:cs="Arial"/>
              </w:rPr>
              <m:t>it</m:t>
            </m:r>
          </m:sub>
        </m:sSub>
      </m:oMath>
      <w:r w:rsidRPr="0049714C">
        <w:rPr>
          <w:rFonts w:ascii="Arial" w:hAnsi="Arial" w:cs="Arial"/>
        </w:rPr>
        <w:t xml:space="preserve"> são variáveis não observáveis e independentes:</w:t>
      </w:r>
    </w:p>
    <w:p w14:paraId="2C6362C2" w14:textId="77777777" w:rsidR="0049714C" w:rsidRPr="0049714C" w:rsidRDefault="00854093" w:rsidP="0049714C">
      <w:pPr>
        <w:spacing w:line="360" w:lineRule="auto"/>
        <w:contextualSpacing/>
        <w:jc w:val="both"/>
        <w:rPr>
          <w:rFonts w:ascii="Arial" w:eastAsiaTheme="minorEastAsia" w:hAnsi="Arial" w:cs="Arial"/>
        </w:rPr>
      </w:pPr>
      <m:oMathPara>
        <m:oMathParaPr>
          <m:jc m:val="left"/>
        </m:oMathParaPr>
        <m:oMath>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r>
            <w:rPr>
              <w:rFonts w:ascii="Cambria Math" w:hAnsi="Cambria Math" w:cs="Arial"/>
            </w:rPr>
            <m:t>~iid</m:t>
          </m:r>
          <m:d>
            <m:dPr>
              <m:ctrlPr>
                <w:rPr>
                  <w:rFonts w:ascii="Cambria Math" w:hAnsi="Cambria Math" w:cs="Arial"/>
                  <w:i/>
                </w:rPr>
              </m:ctrlPr>
            </m:dPr>
            <m:e>
              <m:r>
                <w:rPr>
                  <w:rFonts w:ascii="Cambria Math" w:hAnsi="Cambria Math" w:cs="Arial"/>
                </w:rPr>
                <m:t>0,</m:t>
              </m:r>
              <m:sSubSup>
                <m:sSubSupPr>
                  <m:ctrlPr>
                    <w:rPr>
                      <w:rFonts w:ascii="Cambria Math" w:hAnsi="Cambria Math" w:cs="Arial"/>
                      <w:i/>
                    </w:rPr>
                  </m:ctrlPr>
                </m:sSubSupPr>
                <m:e>
                  <m:r>
                    <w:rPr>
                      <w:rFonts w:ascii="Cambria Math" w:hAnsi="Cambria Math" w:cs="Arial"/>
                    </w:rPr>
                    <m:t>σ</m:t>
                  </m:r>
                </m:e>
                <m:sub>
                  <m:r>
                    <w:rPr>
                      <w:rFonts w:ascii="Cambria Math" w:hAnsi="Cambria Math" w:cs="Arial"/>
                    </w:rPr>
                    <m:t>η</m:t>
                  </m:r>
                </m:sub>
                <m:sup>
                  <m:r>
                    <w:rPr>
                      <w:rFonts w:ascii="Cambria Math" w:hAnsi="Cambria Math" w:cs="Arial"/>
                    </w:rPr>
                    <m:t>2</m:t>
                  </m:r>
                </m:sup>
              </m:sSubSup>
            </m:e>
          </m:d>
        </m:oMath>
      </m:oMathPara>
    </w:p>
    <w:p w14:paraId="7BD07DD8" w14:textId="77777777" w:rsidR="0049714C" w:rsidRPr="0049714C" w:rsidRDefault="00854093" w:rsidP="0049714C">
      <w:pPr>
        <w:spacing w:line="360" w:lineRule="auto"/>
        <w:contextualSpacing/>
        <w:jc w:val="both"/>
        <w:rPr>
          <w:rFonts w:ascii="Arial" w:eastAsiaTheme="minorEastAsia" w:hAnsi="Arial" w:cs="Arial"/>
        </w:rPr>
      </w:pPr>
      <m:oMathPara>
        <m:oMathParaPr>
          <m:jc m:val="left"/>
        </m:oMathParaPr>
        <m:oMath>
          <m:sSub>
            <m:sSubPr>
              <m:ctrlPr>
                <w:rPr>
                  <w:rFonts w:ascii="Cambria Math" w:hAnsi="Cambria Math" w:cs="Arial"/>
                  <w:i/>
                </w:rPr>
              </m:ctrlPr>
            </m:sSubPr>
            <m:e>
              <m:r>
                <w:rPr>
                  <w:rFonts w:ascii="Cambria Math" w:hAnsi="Cambria Math" w:cs="Arial"/>
                </w:rPr>
                <m:t>ν</m:t>
              </m:r>
            </m:e>
            <m:sub>
              <m:r>
                <w:rPr>
                  <w:rFonts w:ascii="Cambria Math" w:hAnsi="Cambria Math" w:cs="Arial"/>
                </w:rPr>
                <m:t>it</m:t>
              </m:r>
            </m:sub>
          </m:sSub>
          <m:r>
            <w:rPr>
              <w:rFonts w:ascii="Cambria Math" w:hAnsi="Cambria Math" w:cs="Arial"/>
            </w:rPr>
            <m:t>~iid</m:t>
          </m:r>
          <m:d>
            <m:dPr>
              <m:ctrlPr>
                <w:rPr>
                  <w:rFonts w:ascii="Cambria Math" w:hAnsi="Cambria Math" w:cs="Arial"/>
                  <w:i/>
                </w:rPr>
              </m:ctrlPr>
            </m:dPr>
            <m:e>
              <m:r>
                <w:rPr>
                  <w:rFonts w:ascii="Cambria Math" w:hAnsi="Cambria Math" w:cs="Arial"/>
                </w:rPr>
                <m:t>0,</m:t>
              </m:r>
              <m:sSubSup>
                <m:sSubSupPr>
                  <m:ctrlPr>
                    <w:rPr>
                      <w:rFonts w:ascii="Cambria Math" w:hAnsi="Cambria Math" w:cs="Arial"/>
                      <w:i/>
                    </w:rPr>
                  </m:ctrlPr>
                </m:sSubSupPr>
                <m:e>
                  <m:r>
                    <w:rPr>
                      <w:rFonts w:ascii="Cambria Math" w:hAnsi="Cambria Math" w:cs="Arial"/>
                    </w:rPr>
                    <m:t>σ</m:t>
                  </m:r>
                </m:e>
                <m:sub>
                  <m:r>
                    <w:rPr>
                      <w:rFonts w:ascii="Cambria Math" w:hAnsi="Cambria Math" w:cs="Arial"/>
                    </w:rPr>
                    <m:t>ν</m:t>
                  </m:r>
                </m:sub>
                <m:sup>
                  <m:r>
                    <w:rPr>
                      <w:rFonts w:ascii="Cambria Math" w:hAnsi="Cambria Math" w:cs="Arial"/>
                    </w:rPr>
                    <m:t>2</m:t>
                  </m:r>
                </m:sup>
              </m:sSubSup>
            </m:e>
          </m:d>
        </m:oMath>
      </m:oMathPara>
    </w:p>
    <w:p w14:paraId="0878D1B7" w14:textId="6BF402EF" w:rsidR="0049714C" w:rsidRPr="0049714C" w:rsidRDefault="00854093" w:rsidP="0049714C">
      <w:pPr>
        <w:spacing w:line="360" w:lineRule="auto"/>
        <w:contextualSpacing/>
        <w:jc w:val="both"/>
        <w:rPr>
          <w:rFonts w:ascii="Arial" w:eastAsiaTheme="minorEastAsia" w:hAnsi="Arial" w:cs="Arial"/>
        </w:rPr>
      </w:pPr>
      <m:oMath>
        <m:sSub>
          <m:sSubPr>
            <m:ctrlPr>
              <w:rPr>
                <w:rFonts w:ascii="Cambria Math" w:hAnsi="Cambria Math" w:cs="Arial"/>
                <w:i/>
              </w:rPr>
            </m:ctrlPr>
          </m:sSubPr>
          <m:e>
            <m:r>
              <w:rPr>
                <w:rFonts w:ascii="Cambria Math" w:hAnsi="Cambria Math" w:cs="Arial"/>
              </w:rPr>
              <m:t>ε</m:t>
            </m:r>
          </m:e>
          <m:sub>
            <m:r>
              <w:rPr>
                <w:rFonts w:ascii="Cambria Math" w:hAnsi="Cambria Math" w:cs="Arial"/>
              </w:rPr>
              <m:t>it</m:t>
            </m:r>
          </m:sub>
        </m:sSub>
        <m:r>
          <w:rPr>
            <w:rFonts w:ascii="Cambria Math" w:hAnsi="Cambria Math" w:cs="Arial"/>
          </w:rPr>
          <m:t>=</m:t>
        </m:r>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w:rPr>
                <w:rFonts w:ascii="Cambria Math" w:hAnsi="Cambria Math" w:cs="Arial"/>
              </w:rPr>
              <m:t>ν</m:t>
            </m:r>
          </m:e>
          <m:sub>
            <m:r>
              <w:rPr>
                <w:rFonts w:ascii="Cambria Math" w:hAnsi="Cambria Math" w:cs="Arial"/>
              </w:rPr>
              <m:t>it</m:t>
            </m:r>
          </m:sub>
        </m:sSub>
      </m:oMath>
      <w:r w:rsidR="0049714C" w:rsidRPr="0049714C">
        <w:rPr>
          <w:rFonts w:ascii="Arial" w:eastAsiaTheme="minorEastAsia" w:hAnsi="Arial" w:cs="Arial"/>
        </w:rPr>
        <w:t xml:space="preserve">: </w:t>
      </w:r>
      <w:r w:rsidR="0049714C" w:rsidRPr="0049714C">
        <w:rPr>
          <w:rFonts w:ascii="Arial" w:hAnsi="Arial" w:cs="Arial"/>
        </w:rPr>
        <w:t>erro agregado de painel ou erro composto, em que</w:t>
      </w:r>
      <w:r w:rsidR="0049714C" w:rsidRPr="0049714C">
        <w:rPr>
          <w:rFonts w:ascii="Arial" w:eastAsiaTheme="minorEastAsia" w:hAnsi="Arial" w:cs="Arial"/>
        </w:rPr>
        <w:t xml:space="preserve"> </w:t>
      </w:r>
      <m:oMath>
        <m:r>
          <w:rPr>
            <w:rFonts w:ascii="Cambria Math" w:eastAsiaTheme="minorEastAsia" w:hAnsi="Cambria Math" w:cs="Arial"/>
          </w:rPr>
          <m:t>E</m:t>
        </m:r>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it</m:t>
                </m:r>
              </m:sub>
            </m:sSub>
          </m:e>
        </m:d>
        <m:r>
          <w:rPr>
            <w:rFonts w:ascii="Cambria Math" w:eastAsiaTheme="minorEastAsia" w:hAnsi="Cambria Math" w:cs="Arial"/>
          </w:rPr>
          <m:t>=0</m:t>
        </m:r>
      </m:oMath>
      <w:r w:rsidR="0049714C" w:rsidRPr="0049714C">
        <w:rPr>
          <w:rFonts w:ascii="Arial" w:eastAsiaTheme="minorEastAsia" w:hAnsi="Arial" w:cs="Arial"/>
        </w:rPr>
        <w:t xml:space="preserve"> e </w:t>
      </w:r>
      <m:oMath>
        <m:r>
          <w:rPr>
            <w:rFonts w:ascii="Cambria Math" w:eastAsiaTheme="minorEastAsia" w:hAnsi="Cambria Math" w:cs="Arial"/>
          </w:rPr>
          <m:t>VAR</m:t>
        </m:r>
        <m:d>
          <m:dPr>
            <m:ctrlPr>
              <w:rPr>
                <w:rFonts w:ascii="Cambria Math" w:eastAsiaTheme="minorEastAsia" w:hAnsi="Cambria Math" w:cs="Arial"/>
                <w:i/>
              </w:rPr>
            </m:ctrlPr>
          </m:dPr>
          <m:e>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it</m:t>
                </m:r>
              </m:sub>
            </m:sSub>
          </m:e>
        </m:d>
        <m:r>
          <w:rPr>
            <w:rFonts w:ascii="Cambria Math" w:eastAsiaTheme="minorEastAsia" w:hAnsi="Cambria Math" w:cs="Arial"/>
          </w:rPr>
          <m:t>=</m:t>
        </m:r>
        <m:sSubSup>
          <m:sSubSupPr>
            <m:ctrlPr>
              <w:rPr>
                <w:rFonts w:ascii="Cambria Math" w:eastAsiaTheme="minorEastAsia" w:hAnsi="Cambria Math" w:cs="Arial"/>
                <w:i/>
              </w:rPr>
            </m:ctrlPr>
          </m:sSubSupPr>
          <m:e>
            <m:r>
              <w:rPr>
                <w:rFonts w:ascii="Cambria Math" w:eastAsiaTheme="minorEastAsia" w:hAnsi="Cambria Math" w:cs="Arial"/>
              </w:rPr>
              <m:t>σ</m:t>
            </m:r>
          </m:e>
          <m:sub>
            <m:r>
              <w:rPr>
                <w:rFonts w:ascii="Cambria Math" w:eastAsiaTheme="minorEastAsia" w:hAnsi="Cambria Math" w:cs="Arial"/>
              </w:rPr>
              <m:t>η</m:t>
            </m:r>
          </m:sub>
          <m:sup>
            <m:r>
              <w:rPr>
                <w:rFonts w:ascii="Cambria Math" w:eastAsiaTheme="minorEastAsia" w:hAnsi="Cambria Math" w:cs="Arial"/>
              </w:rPr>
              <m:t>2</m:t>
            </m:r>
          </m:sup>
        </m:sSubSup>
        <m:r>
          <w:rPr>
            <w:rFonts w:ascii="Cambria Math" w:eastAsiaTheme="minorEastAsia" w:hAnsi="Cambria Math" w:cs="Arial"/>
          </w:rPr>
          <m:t>+</m:t>
        </m:r>
        <m:sSubSup>
          <m:sSubSupPr>
            <m:ctrlPr>
              <w:rPr>
                <w:rFonts w:ascii="Cambria Math" w:eastAsiaTheme="minorEastAsia" w:hAnsi="Cambria Math" w:cs="Arial"/>
                <w:i/>
              </w:rPr>
            </m:ctrlPr>
          </m:sSubSupPr>
          <m:e>
            <m:r>
              <w:rPr>
                <w:rFonts w:ascii="Cambria Math" w:eastAsiaTheme="minorEastAsia" w:hAnsi="Cambria Math" w:cs="Arial"/>
              </w:rPr>
              <m:t>σ</m:t>
            </m:r>
          </m:e>
          <m:sub>
            <m:r>
              <w:rPr>
                <w:rFonts w:ascii="Cambria Math" w:eastAsiaTheme="minorEastAsia" w:hAnsi="Cambria Math" w:cs="Arial"/>
              </w:rPr>
              <m:t>ν</m:t>
            </m:r>
          </m:sub>
          <m:sup>
            <m:r>
              <w:rPr>
                <w:rFonts w:ascii="Cambria Math" w:eastAsiaTheme="minorEastAsia" w:hAnsi="Cambria Math" w:cs="Arial"/>
              </w:rPr>
              <m:t>2</m:t>
            </m:r>
          </m:sup>
        </m:sSubSup>
      </m:oMath>
      <w:r w:rsidR="0049714C" w:rsidRPr="0049714C">
        <w:rPr>
          <w:rFonts w:ascii="Arial" w:eastAsiaTheme="minorEastAsia" w:hAnsi="Arial" w:cs="Arial"/>
        </w:rPr>
        <w:t>.</w:t>
      </w:r>
    </w:p>
    <w:p w14:paraId="1E1211E7" w14:textId="67B9BA37"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A questão a ser resolvida é como estimar um modelo econométrico em dados de painel que leve em consideração a heterogeneidade das unidades de corte transversal, a fim de que possa obter estimadores que sejam consistentes e eficientes. A literatura econométrica aponta diversas formas de estimações </w:t>
      </w:r>
      <w:r w:rsidR="00D94D11" w:rsidRPr="0049714C">
        <w:rPr>
          <w:rFonts w:ascii="Arial" w:hAnsi="Arial" w:cs="Arial"/>
        </w:rPr>
        <w:lastRenderedPageBreak/>
        <w:t>econométricas,</w:t>
      </w:r>
      <w:r w:rsidRPr="0049714C">
        <w:rPr>
          <w:rFonts w:ascii="Arial" w:hAnsi="Arial" w:cs="Arial"/>
        </w:rPr>
        <w:t xml:space="preserve"> mas, para fins desse estudo, serão utilizados o modelo de efeitos fixos e o modelo de efeitos aleatórios.</w:t>
      </w:r>
    </w:p>
    <w:p w14:paraId="36459C24" w14:textId="77777777"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No modelo de efeitos fixos, a estimação econométrica é realizada considerando que a heterogeneidade será captada pela parte constante do modelo </w:t>
      </w:r>
      <m:oMath>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e>
        </m:d>
      </m:oMath>
      <w:r w:rsidRPr="0049714C">
        <w:rPr>
          <w:rFonts w:ascii="Arial" w:hAnsi="Arial" w:cs="Arial"/>
        </w:rPr>
        <w:t>, ou seja, o termo da constante será diferente de entidade para entidade. A heterogeneidade nos interceptos pode ser identificada por meio do modelo de efeitos fixos, que consideram que as entidades de corte transversal apresentam fatores determinísticos específicos, por exemplo, de caráter político ou econômico, capitados por variáveis não observáveis que causam efeitos de impactos autônomos sobre essas entidades, por meio dos interceptos do modelo. Trata-se de uma forma de levar em conta a “individualidade” de cada unidade do corte transversal (empresas, cidades, municípios, países etc.), fazendo variar o intercepto, considerando, entretanto, que os coeficientes angulares são constantes (GUJARATI, 2006, p. 517).</w:t>
      </w:r>
    </w:p>
    <w:p w14:paraId="2783E706" w14:textId="0B216A83"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No modelo de efeito aleatório, por sua vez, a estimação econométrica é realizada introduzindo a heterogeneidade no termo de erro. De maneira especifica, considere agora que </w:t>
      </w:r>
      <m:oMath>
        <m:sSub>
          <m:sSubPr>
            <m:ctrlPr>
              <w:rPr>
                <w:rFonts w:ascii="Cambria Math" w:hAnsi="Cambria Math" w:cs="Arial"/>
                <w:i/>
              </w:rPr>
            </m:ctrlPr>
          </m:sSubPr>
          <m:e>
            <m:r>
              <w:rPr>
                <w:rFonts w:ascii="Cambria Math" w:hAnsi="Cambria Math" w:cs="Arial"/>
              </w:rPr>
              <m:t>α</m:t>
            </m:r>
          </m:e>
          <m:sub>
            <m:r>
              <w:rPr>
                <w:rFonts w:ascii="Cambria Math" w:hAnsi="Cambria Math" w:cs="Arial"/>
              </w:rPr>
              <m:t>i</m:t>
            </m:r>
          </m:sub>
        </m:sSub>
        <m:r>
          <w:rPr>
            <w:rFonts w:ascii="Cambria Math" w:hAnsi="Cambria Math" w:cs="Arial"/>
          </w:rPr>
          <m:t>=μ+</m:t>
        </m:r>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oMath>
      <w:r w:rsidRPr="0049714C">
        <w:rPr>
          <w:rFonts w:ascii="Arial" w:hAnsi="Arial" w:cs="Arial"/>
        </w:rPr>
        <w:t xml:space="preserve"> é o valor do intercepto para uma unidade de corte transversal, </w:t>
      </w:r>
      <w:r w:rsidRPr="0049714C">
        <w:rPr>
          <w:rFonts w:ascii="Arial" w:hAnsi="Arial" w:cs="Arial"/>
          <w:i/>
        </w:rPr>
        <w:t>i</w:t>
      </w:r>
      <w:r w:rsidRPr="0049714C">
        <w:rPr>
          <w:rFonts w:ascii="Arial" w:hAnsi="Arial" w:cs="Arial"/>
        </w:rPr>
        <w:t xml:space="preserve"> = 1, 2, ..., </w:t>
      </w:r>
      <w:r w:rsidRPr="0049714C">
        <w:rPr>
          <w:rFonts w:ascii="Arial" w:hAnsi="Arial" w:cs="Arial"/>
          <w:i/>
        </w:rPr>
        <w:t>N</w:t>
      </w:r>
      <w:r w:rsidRPr="0049714C">
        <w:rPr>
          <w:rFonts w:ascii="Arial" w:hAnsi="Arial" w:cs="Arial"/>
        </w:rPr>
        <w:t xml:space="preserve">. Os componentes de erro individuais não estão correlacionados entre si nem estão correlacionados entre as unidades de corte transversal e as de séries temporais. O intercepto </w:t>
      </w:r>
      <m:oMath>
        <m:r>
          <w:rPr>
            <w:rFonts w:ascii="Cambria Math" w:hAnsi="Cambria Math" w:cs="Arial"/>
          </w:rPr>
          <m:t>μ</m:t>
        </m:r>
      </m:oMath>
      <w:r w:rsidRPr="0049714C">
        <w:rPr>
          <w:rFonts w:ascii="Arial" w:hAnsi="Arial" w:cs="Arial"/>
        </w:rPr>
        <w:t xml:space="preserve"> representa o valor médio de todos os interceptos (de corte transversal) e o termo de erro </w:t>
      </w:r>
      <m:oMath>
        <m:sSub>
          <m:sSubPr>
            <m:ctrlPr>
              <w:rPr>
                <w:rFonts w:ascii="Cambria Math" w:hAnsi="Cambria Math" w:cs="Arial"/>
                <w:i/>
              </w:rPr>
            </m:ctrlPr>
          </m:sSubPr>
          <m:e>
            <m:r>
              <w:rPr>
                <w:rFonts w:ascii="Cambria Math" w:hAnsi="Cambria Math" w:cs="Arial"/>
              </w:rPr>
              <m:t>η</m:t>
            </m:r>
          </m:e>
          <m:sub>
            <m:r>
              <w:rPr>
                <w:rFonts w:ascii="Cambria Math" w:hAnsi="Cambria Math" w:cs="Arial"/>
              </w:rPr>
              <m:t>i</m:t>
            </m:r>
          </m:sub>
        </m:sSub>
      </m:oMath>
      <w:r w:rsidRPr="0049714C">
        <w:rPr>
          <w:rFonts w:ascii="Arial" w:hAnsi="Arial" w:cs="Arial"/>
        </w:rPr>
        <w:t xml:space="preserve"> representa o desvio aleatório do intercepto individual de seu valor médio (GUJARATI, 2006, p. 522).</w:t>
      </w:r>
    </w:p>
    <w:p w14:paraId="0A4291C5" w14:textId="294E78A2" w:rsidR="0049714C" w:rsidRDefault="0049714C" w:rsidP="0049714C">
      <w:pPr>
        <w:spacing w:line="360" w:lineRule="auto"/>
        <w:ind w:firstLine="708"/>
        <w:jc w:val="both"/>
        <w:rPr>
          <w:rFonts w:ascii="Arial" w:hAnsi="Arial" w:cs="Arial"/>
        </w:rPr>
      </w:pPr>
      <w:r w:rsidRPr="0049714C">
        <w:rPr>
          <w:rFonts w:ascii="Arial" w:hAnsi="Arial" w:cs="Arial"/>
        </w:rPr>
        <w:t xml:space="preserve">Como escolher o modelo mais adequado (efeitos fixos ou efeitos aleatórios) na estimação econométrica para dados em painel estático? O teste de Hausman (HAUSMAN, 1978) é utilizado para decidir qual é o modelo mais adequado. A hipótese nula </w:t>
      </w:r>
      <m:oMath>
        <m:d>
          <m:dPr>
            <m:ctrlPr>
              <w:rPr>
                <w:rFonts w:ascii="Cambria Math" w:eastAsia="Times New Roman" w:hAnsi="Cambria Math" w:cs="Arial"/>
                <w:i/>
              </w:rPr>
            </m:ctrlPr>
          </m:dPr>
          <m:e>
            <m:sSub>
              <m:sSubPr>
                <m:ctrlPr>
                  <w:rPr>
                    <w:rFonts w:ascii="Cambria Math" w:eastAsia="Times New Roman" w:hAnsi="Cambria Math" w:cs="Arial"/>
                    <w:i/>
                  </w:rPr>
                </m:ctrlPr>
              </m:sSubPr>
              <m:e>
                <m:r>
                  <w:rPr>
                    <w:rFonts w:ascii="Cambria Math" w:eastAsia="Times New Roman" w:hAnsi="Cambria Math" w:cs="Arial"/>
                  </w:rPr>
                  <m:t>H</m:t>
                </m:r>
              </m:e>
              <m:sub>
                <m:r>
                  <w:rPr>
                    <w:rFonts w:ascii="Cambria Math" w:eastAsia="Times New Roman" w:hAnsi="Cambria Math" w:cs="Arial"/>
                  </w:rPr>
                  <m:t>0</m:t>
                </m:r>
              </m:sub>
            </m:sSub>
          </m:e>
        </m:d>
      </m:oMath>
      <w:r w:rsidRPr="0049714C">
        <w:rPr>
          <w:rFonts w:ascii="Arial" w:hAnsi="Arial" w:cs="Arial"/>
        </w:rPr>
        <w:t xml:space="preserve"> do teste de Hausman define que o modelo de efeito aleatório é mais adequado, ao passo que a hipótese alternativa </w:t>
      </w:r>
      <m:oMath>
        <m:d>
          <m:dPr>
            <m:ctrlPr>
              <w:rPr>
                <w:rFonts w:ascii="Cambria Math" w:eastAsia="Times New Roman" w:hAnsi="Cambria Math" w:cs="Arial"/>
                <w:i/>
              </w:rPr>
            </m:ctrlPr>
          </m:dPr>
          <m:e>
            <m:sSub>
              <m:sSubPr>
                <m:ctrlPr>
                  <w:rPr>
                    <w:rFonts w:ascii="Cambria Math" w:eastAsia="Times New Roman" w:hAnsi="Cambria Math" w:cs="Arial"/>
                    <w:i/>
                  </w:rPr>
                </m:ctrlPr>
              </m:sSubPr>
              <m:e>
                <m:r>
                  <w:rPr>
                    <w:rFonts w:ascii="Cambria Math" w:eastAsia="Times New Roman" w:hAnsi="Cambria Math" w:cs="Arial"/>
                  </w:rPr>
                  <m:t>H</m:t>
                </m:r>
              </m:e>
              <m:sub>
                <m:r>
                  <w:rPr>
                    <w:rFonts w:ascii="Cambria Math" w:eastAsia="Times New Roman" w:hAnsi="Cambria Math" w:cs="Arial"/>
                  </w:rPr>
                  <m:t>1</m:t>
                </m:r>
              </m:sub>
            </m:sSub>
          </m:e>
        </m:d>
      </m:oMath>
      <w:r w:rsidRPr="0049714C">
        <w:rPr>
          <w:rFonts w:ascii="Arial" w:hAnsi="Arial" w:cs="Arial"/>
        </w:rPr>
        <w:t xml:space="preserve"> define que o modelo de efeito fixo é mais adequado. A estatística do teste de Hausman (HAUSNMAN, 1978) pode ser escrita da seguinte forma:</w:t>
      </w:r>
    </w:p>
    <w:p w14:paraId="42769986" w14:textId="77777777" w:rsidR="0049714C" w:rsidRPr="0049714C" w:rsidRDefault="0049714C" w:rsidP="0049714C">
      <w:pPr>
        <w:spacing w:line="360" w:lineRule="auto"/>
        <w:ind w:firstLine="708"/>
        <w:jc w:val="both"/>
        <w:rPr>
          <w:rFonts w:ascii="Arial" w:hAnsi="Arial" w:cs="Arial"/>
        </w:rPr>
      </w:pPr>
    </w:p>
    <w:p w14:paraId="36DEFC12" w14:textId="2348DDAE" w:rsidR="0049714C" w:rsidRPr="0049714C" w:rsidRDefault="0049714C" w:rsidP="0049714C">
      <w:pPr>
        <w:spacing w:line="360" w:lineRule="auto"/>
        <w:jc w:val="both"/>
        <w:rPr>
          <w:rFonts w:ascii="Arial" w:eastAsiaTheme="minorEastAsia" w:hAnsi="Arial" w:cs="Arial"/>
          <w:color w:val="000000" w:themeColor="text1"/>
        </w:rPr>
      </w:pPr>
      <m:oMathPara>
        <m:oMathParaPr>
          <m:jc m:val="left"/>
        </m:oMathParaPr>
        <m:oMath>
          <m:r>
            <w:rPr>
              <w:rFonts w:ascii="Cambria Math" w:eastAsia="Times New Roman" w:hAnsi="Cambria Math" w:cs="Arial"/>
              <w:color w:val="000000" w:themeColor="text1"/>
            </w:rPr>
            <w:lastRenderedPageBreak/>
            <m:t>HA=</m:t>
          </m:r>
          <m:d>
            <m:dPr>
              <m:ctrlPr>
                <w:rPr>
                  <w:rFonts w:ascii="Cambria Math" w:eastAsia="Times New Roman" w:hAnsi="Cambria Math" w:cs="Arial"/>
                  <w:i/>
                  <w:color w:val="000000" w:themeColor="text1"/>
                </w:rPr>
              </m:ctrlPr>
            </m:dPr>
            <m:e>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β</m:t>
                      </m:r>
                    </m:e>
                  </m:acc>
                </m:e>
                <m:sub>
                  <m:r>
                    <w:rPr>
                      <w:rFonts w:ascii="Cambria Math" w:eastAsiaTheme="minorEastAsia" w:hAnsi="Cambria Math" w:cs="Arial"/>
                    </w:rPr>
                    <m:t>EA</m:t>
                  </m:r>
                </m:sub>
              </m:sSub>
              <m:r>
                <w:rPr>
                  <w:rFonts w:ascii="Cambria Math" w:eastAsia="Times New Roman" w:hAnsi="Cambria Math" w:cs="Arial"/>
                  <w:color w:val="000000" w:themeColor="text1"/>
                </w:rPr>
                <m:t>-</m:t>
              </m:r>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β</m:t>
                      </m:r>
                    </m:e>
                  </m:acc>
                </m:e>
                <m:sub>
                  <m:r>
                    <w:rPr>
                      <w:rFonts w:ascii="Cambria Math" w:eastAsiaTheme="minorEastAsia" w:hAnsi="Cambria Math" w:cs="Arial"/>
                    </w:rPr>
                    <m:t>EF</m:t>
                  </m:r>
                </m:sub>
              </m:sSub>
            </m:e>
          </m:d>
          <m:r>
            <w:rPr>
              <w:rFonts w:ascii="Cambria Math" w:eastAsia="Times New Roman" w:hAnsi="Cambria Math" w:cs="Arial"/>
              <w:color w:val="000000" w:themeColor="text1"/>
            </w:rPr>
            <m:t>'</m:t>
          </m:r>
          <m:sSup>
            <m:sSupPr>
              <m:ctrlPr>
                <w:rPr>
                  <w:rFonts w:ascii="Cambria Math" w:eastAsia="Times New Roman" w:hAnsi="Cambria Math" w:cs="Arial"/>
                  <w:i/>
                  <w:color w:val="000000" w:themeColor="text1"/>
                </w:rPr>
              </m:ctrlPr>
            </m:sSupPr>
            <m:e>
              <m:d>
                <m:dPr>
                  <m:begChr m:val="["/>
                  <m:endChr m:val="]"/>
                  <m:ctrlPr>
                    <w:rPr>
                      <w:rFonts w:ascii="Cambria Math" w:eastAsia="Times New Roman" w:hAnsi="Cambria Math" w:cs="Arial"/>
                      <w:i/>
                      <w:color w:val="000000" w:themeColor="text1"/>
                    </w:rPr>
                  </m:ctrlPr>
                </m:dPr>
                <m:e>
                  <m:r>
                    <w:rPr>
                      <w:rFonts w:ascii="Cambria Math" w:eastAsia="Times New Roman" w:hAnsi="Cambria Math" w:cs="Arial"/>
                      <w:color w:val="000000" w:themeColor="text1"/>
                    </w:rPr>
                    <m:t>VAR</m:t>
                  </m:r>
                  <m:d>
                    <m:dPr>
                      <m:ctrlPr>
                        <w:rPr>
                          <w:rFonts w:ascii="Cambria Math" w:eastAsia="Times New Roman" w:hAnsi="Cambria Math" w:cs="Arial"/>
                          <w:i/>
                          <w:color w:val="000000" w:themeColor="text1"/>
                        </w:rPr>
                      </m:ctrlPr>
                    </m:dPr>
                    <m:e>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β</m:t>
                              </m:r>
                            </m:e>
                          </m:acc>
                        </m:e>
                        <m:sub>
                          <m:r>
                            <w:rPr>
                              <w:rFonts w:ascii="Cambria Math" w:eastAsiaTheme="minorEastAsia" w:hAnsi="Cambria Math" w:cs="Arial"/>
                            </w:rPr>
                            <m:t>EF</m:t>
                          </m:r>
                        </m:sub>
                      </m:sSub>
                    </m:e>
                  </m:d>
                  <m:r>
                    <w:rPr>
                      <w:rFonts w:ascii="Cambria Math" w:eastAsia="Times New Roman" w:hAnsi="Cambria Math" w:cs="Arial"/>
                      <w:color w:val="000000" w:themeColor="text1"/>
                    </w:rPr>
                    <m:t>-VAR</m:t>
                  </m:r>
                  <m:d>
                    <m:dPr>
                      <m:ctrlPr>
                        <w:rPr>
                          <w:rFonts w:ascii="Cambria Math" w:eastAsia="Times New Roman" w:hAnsi="Cambria Math" w:cs="Arial"/>
                          <w:i/>
                          <w:color w:val="000000" w:themeColor="text1"/>
                        </w:rPr>
                      </m:ctrlPr>
                    </m:dPr>
                    <m:e>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β</m:t>
                              </m:r>
                            </m:e>
                          </m:acc>
                        </m:e>
                        <m:sub>
                          <m:r>
                            <w:rPr>
                              <w:rFonts w:ascii="Cambria Math" w:eastAsiaTheme="minorEastAsia" w:hAnsi="Cambria Math" w:cs="Arial"/>
                            </w:rPr>
                            <m:t>EA</m:t>
                          </m:r>
                        </m:sub>
                      </m:sSub>
                    </m:e>
                  </m:d>
                </m:e>
              </m:d>
            </m:e>
            <m:sup>
              <m:r>
                <w:rPr>
                  <w:rFonts w:ascii="Cambria Math" w:eastAsia="Times New Roman" w:hAnsi="Cambria Math" w:cs="Arial"/>
                  <w:color w:val="000000" w:themeColor="text1"/>
                </w:rPr>
                <m:t>-1</m:t>
              </m:r>
            </m:sup>
          </m:sSup>
          <m:d>
            <m:dPr>
              <m:ctrlPr>
                <w:rPr>
                  <w:rFonts w:ascii="Cambria Math" w:eastAsia="Times New Roman" w:hAnsi="Cambria Math" w:cs="Arial"/>
                  <w:i/>
                  <w:color w:val="000000" w:themeColor="text1"/>
                </w:rPr>
              </m:ctrlPr>
            </m:dPr>
            <m:e>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β</m:t>
                      </m:r>
                    </m:e>
                  </m:acc>
                </m:e>
                <m:sub>
                  <m:r>
                    <w:rPr>
                      <w:rFonts w:ascii="Cambria Math" w:eastAsiaTheme="minorEastAsia" w:hAnsi="Cambria Math" w:cs="Arial"/>
                    </w:rPr>
                    <m:t>EA</m:t>
                  </m:r>
                </m:sub>
              </m:sSub>
              <m:r>
                <w:rPr>
                  <w:rFonts w:ascii="Cambria Math" w:eastAsia="Times New Roman" w:hAnsi="Cambria Math" w:cs="Arial"/>
                  <w:color w:val="000000" w:themeColor="text1"/>
                </w:rPr>
                <m:t>-</m:t>
              </m:r>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β</m:t>
                      </m:r>
                    </m:e>
                  </m:acc>
                </m:e>
                <m:sub>
                  <m:r>
                    <w:rPr>
                      <w:rFonts w:ascii="Cambria Math" w:eastAsiaTheme="minorEastAsia" w:hAnsi="Cambria Math" w:cs="Arial"/>
                    </w:rPr>
                    <m:t>EF</m:t>
                  </m:r>
                </m:sub>
              </m:sSub>
            </m:e>
          </m:d>
          <m:r>
            <w:rPr>
              <w:rFonts w:ascii="Cambria Math" w:eastAsia="Times New Roman" w:hAnsi="Cambria Math" w:cs="Arial"/>
              <w:color w:val="000000" w:themeColor="text1"/>
            </w:rPr>
            <m:t>~</m:t>
          </m:r>
          <m:sSubSup>
            <m:sSubSupPr>
              <m:ctrlPr>
                <w:rPr>
                  <w:rFonts w:ascii="Cambria Math" w:eastAsia="Times New Roman" w:hAnsi="Cambria Math" w:cs="Arial"/>
                  <w:i/>
                  <w:color w:val="000000" w:themeColor="text1"/>
                </w:rPr>
              </m:ctrlPr>
            </m:sSubSupPr>
            <m:e>
              <m:r>
                <w:rPr>
                  <w:rFonts w:ascii="Cambria Math" w:eastAsia="Times New Roman" w:hAnsi="Cambria Math" w:cs="Arial"/>
                  <w:color w:val="000000" w:themeColor="text1"/>
                </w:rPr>
                <m:t>χ</m:t>
              </m:r>
            </m:e>
            <m:sub>
              <m:r>
                <w:rPr>
                  <w:rFonts w:ascii="Cambria Math" w:eastAsia="Times New Roman" w:hAnsi="Cambria Math" w:cs="Arial"/>
                  <w:color w:val="000000" w:themeColor="text1"/>
                </w:rPr>
                <m:t>k</m:t>
              </m:r>
            </m:sub>
            <m:sup>
              <m:r>
                <w:rPr>
                  <w:rFonts w:ascii="Cambria Math" w:eastAsia="Times New Roman" w:hAnsi="Cambria Math" w:cs="Arial"/>
                  <w:color w:val="000000" w:themeColor="text1"/>
                </w:rPr>
                <m:t>2</m:t>
              </m:r>
            </m:sup>
          </m:sSubSup>
          <m:r>
            <w:rPr>
              <w:rFonts w:ascii="Cambria Math" w:eastAsia="Times New Roman" w:hAnsi="Cambria Math" w:cs="Arial"/>
              <w:color w:val="000000" w:themeColor="text1"/>
            </w:rPr>
            <m:t xml:space="preserve"> </m:t>
          </m:r>
          <m:r>
            <w:rPr>
              <w:rFonts w:ascii="Cambria Math" w:eastAsiaTheme="minorEastAsia" w:hAnsi="Cambria Math" w:cs="Arial"/>
              <w:color w:val="000000" w:themeColor="text1"/>
            </w:rPr>
            <m:t xml:space="preserve">          </m:t>
          </m:r>
          <m:d>
            <m:dPr>
              <m:ctrlPr>
                <w:rPr>
                  <w:rFonts w:ascii="Cambria Math" w:eastAsiaTheme="minorEastAsia" w:hAnsi="Cambria Math" w:cs="Arial"/>
                  <w:i/>
                  <w:color w:val="000000" w:themeColor="text1"/>
                </w:rPr>
              </m:ctrlPr>
            </m:dPr>
            <m:e>
              <m:r>
                <w:rPr>
                  <w:rFonts w:ascii="Cambria Math" w:eastAsiaTheme="minorEastAsia" w:hAnsi="Cambria Math" w:cs="Arial"/>
                  <w:color w:val="000000" w:themeColor="text1"/>
                </w:rPr>
                <m:t>3</m:t>
              </m:r>
            </m:e>
          </m:d>
        </m:oMath>
      </m:oMathPara>
    </w:p>
    <w:p w14:paraId="3BC26671" w14:textId="77777777" w:rsidR="0049714C" w:rsidRPr="0049714C" w:rsidRDefault="0049714C" w:rsidP="0049714C">
      <w:pPr>
        <w:spacing w:line="360" w:lineRule="auto"/>
        <w:jc w:val="both"/>
        <w:rPr>
          <w:rFonts w:ascii="Arial" w:eastAsiaTheme="minorEastAsia" w:hAnsi="Arial" w:cs="Arial"/>
          <w:color w:val="000000" w:themeColor="text1"/>
        </w:rPr>
      </w:pPr>
    </w:p>
    <w:p w14:paraId="23791FA6" w14:textId="77777777" w:rsidR="0049714C" w:rsidRPr="0049714C" w:rsidRDefault="0049714C" w:rsidP="0049714C">
      <w:pPr>
        <w:spacing w:line="360" w:lineRule="auto"/>
        <w:jc w:val="both"/>
        <w:rPr>
          <w:rFonts w:ascii="Arial" w:hAnsi="Arial" w:cs="Arial"/>
        </w:rPr>
      </w:pPr>
      <w:r w:rsidRPr="0049714C">
        <w:rPr>
          <w:rFonts w:ascii="Arial" w:hAnsi="Arial" w:cs="Arial"/>
        </w:rPr>
        <w:t xml:space="preserve">em que </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β</m:t>
                </m:r>
              </m:e>
            </m:acc>
          </m:e>
          <m:sub>
            <m:r>
              <w:rPr>
                <w:rFonts w:ascii="Cambria Math" w:hAnsi="Cambria Math" w:cs="Arial"/>
              </w:rPr>
              <m:t>EF</m:t>
            </m:r>
          </m:sub>
        </m:sSub>
      </m:oMath>
      <w:r w:rsidRPr="0049714C">
        <w:rPr>
          <w:rFonts w:ascii="Arial" w:hAnsi="Arial" w:cs="Arial"/>
        </w:rPr>
        <w:t xml:space="preserve"> e </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β</m:t>
                </m:r>
              </m:e>
            </m:acc>
          </m:e>
          <m:sub>
            <m:r>
              <w:rPr>
                <w:rFonts w:ascii="Cambria Math" w:hAnsi="Cambria Math" w:cs="Arial"/>
              </w:rPr>
              <m:t>EA</m:t>
            </m:r>
          </m:sub>
        </m:sSub>
      </m:oMath>
      <w:r w:rsidRPr="0049714C">
        <w:rPr>
          <w:rFonts w:ascii="Arial" w:hAnsi="Arial" w:cs="Arial"/>
        </w:rPr>
        <w:t xml:space="preserve"> são, respectivamente, os vetores dos estimadores dos modelos de efeito fixo e de efeito aleatório, respectivamente, e </w:t>
      </w:r>
      <m:oMath>
        <m:r>
          <w:rPr>
            <w:rFonts w:ascii="Cambria Math" w:eastAsia="Times New Roman" w:hAnsi="Cambria Math" w:cs="Arial"/>
          </w:rPr>
          <m:t>k</m:t>
        </m:r>
      </m:oMath>
      <w:r w:rsidRPr="0049714C">
        <w:rPr>
          <w:rFonts w:ascii="Arial" w:hAnsi="Arial" w:cs="Arial"/>
        </w:rPr>
        <w:t xml:space="preserve"> é o número de regressores. Se </w:t>
      </w:r>
      <m:oMath>
        <m:r>
          <w:rPr>
            <w:rFonts w:ascii="Cambria Math" w:eastAsia="Times New Roman" w:hAnsi="Cambria Math" w:cs="Arial"/>
          </w:rPr>
          <m:t>HA&gt;</m:t>
        </m:r>
        <m:sSubSup>
          <m:sSubSupPr>
            <m:ctrlPr>
              <w:rPr>
                <w:rFonts w:ascii="Cambria Math" w:eastAsia="Times New Roman" w:hAnsi="Cambria Math" w:cs="Arial"/>
                <w:i/>
              </w:rPr>
            </m:ctrlPr>
          </m:sSubSupPr>
          <m:e>
            <m:r>
              <w:rPr>
                <w:rFonts w:ascii="Cambria Math" w:eastAsia="Times New Roman" w:hAnsi="Cambria Math" w:cs="Arial"/>
              </w:rPr>
              <m:t>χ</m:t>
            </m:r>
          </m:e>
          <m:sub>
            <m:r>
              <w:rPr>
                <w:rFonts w:ascii="Cambria Math" w:eastAsia="Times New Roman" w:hAnsi="Cambria Math" w:cs="Arial"/>
              </w:rPr>
              <m:t>k</m:t>
            </m:r>
          </m:sub>
          <m:sup>
            <m:r>
              <w:rPr>
                <w:rFonts w:ascii="Cambria Math" w:eastAsia="Times New Roman" w:hAnsi="Cambria Math" w:cs="Arial"/>
              </w:rPr>
              <m:t>2</m:t>
            </m:r>
          </m:sup>
        </m:sSubSup>
      </m:oMath>
      <w:r w:rsidRPr="0049714C">
        <w:rPr>
          <w:rFonts w:ascii="Arial" w:hAnsi="Arial" w:cs="Arial"/>
        </w:rPr>
        <w:t>, rejeita-se a hipótese nula, indicando que o modelo de efeitos fixos é o mais apropriado.</w:t>
      </w:r>
    </w:p>
    <w:p w14:paraId="78BFE65D" w14:textId="5C883875"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Note que a hipótese nula do teste de Hausman (1978) é que os estimadores de efeitos fixos e de efeitos aleatórios não diferem substancialmente. O teste estatístico formulado por Hausman segue uma distribuição </w:t>
      </w:r>
      <m:oMath>
        <m:sSup>
          <m:sSupPr>
            <m:ctrlPr>
              <w:rPr>
                <w:rFonts w:ascii="Cambria Math" w:hAnsi="Cambria Math" w:cs="Arial"/>
                <w:i/>
              </w:rPr>
            </m:ctrlPr>
          </m:sSupPr>
          <m:e>
            <m:r>
              <w:rPr>
                <w:rFonts w:ascii="Cambria Math" w:hAnsi="Cambria Math" w:cs="Arial"/>
              </w:rPr>
              <m:t>χ</m:t>
            </m:r>
          </m:e>
          <m:sup>
            <m:r>
              <w:rPr>
                <w:rFonts w:ascii="Cambria Math" w:hAnsi="Cambria Math" w:cs="Arial"/>
              </w:rPr>
              <m:t>2</m:t>
            </m:r>
          </m:sup>
        </m:sSup>
      </m:oMath>
      <w:r w:rsidRPr="0049714C">
        <w:rPr>
          <w:rFonts w:ascii="Arial" w:hAnsi="Arial" w:cs="Arial"/>
        </w:rPr>
        <w:t xml:space="preserve"> assintótica. A ideia do teste de Hausman é que se usem as estimativas de efeitos aleatórios a menos que o teste de Hausman as rejeite. Na prática, uma falha em rejeitar significa que: (</w:t>
      </w:r>
      <w:r w:rsidR="00A869B2">
        <w:rPr>
          <w:rFonts w:ascii="Arial" w:hAnsi="Arial" w:cs="Arial"/>
        </w:rPr>
        <w:t>1</w:t>
      </w:r>
      <w:r w:rsidRPr="0049714C">
        <w:rPr>
          <w:rFonts w:ascii="Arial" w:hAnsi="Arial" w:cs="Arial"/>
        </w:rPr>
        <w:t>) ou as estimativas de EA e EF são suficientemente próximas que não importa qual será usada; (</w:t>
      </w:r>
      <w:r w:rsidR="00A869B2">
        <w:rPr>
          <w:rFonts w:ascii="Arial" w:hAnsi="Arial" w:cs="Arial"/>
        </w:rPr>
        <w:t>2</w:t>
      </w:r>
      <w:r w:rsidRPr="0049714C">
        <w:rPr>
          <w:rFonts w:ascii="Arial" w:hAnsi="Arial" w:cs="Arial"/>
        </w:rPr>
        <w:t>) ou a variação amostral é tão grande nas estimativas de EF que não se pode concluir se diferenças praticamente significantes são estatisticamente significantes. Uma rejeição com o uso do teste de Hausman é considerada como significativa de que a hipótese de EA é falsa, e que as estimativas de EF devem ser usadas (WOOLDRIDGE, 2011, p. 468).</w:t>
      </w:r>
    </w:p>
    <w:p w14:paraId="74F56D6D" w14:textId="77777777" w:rsidR="0049714C" w:rsidRPr="0049714C" w:rsidRDefault="0049714C" w:rsidP="0049714C">
      <w:pPr>
        <w:spacing w:line="360" w:lineRule="auto"/>
        <w:ind w:firstLine="708"/>
        <w:jc w:val="both"/>
        <w:rPr>
          <w:rFonts w:ascii="Arial" w:hAnsi="Arial" w:cs="Arial"/>
        </w:rPr>
      </w:pPr>
      <w:r w:rsidRPr="0049714C">
        <w:rPr>
          <w:rFonts w:ascii="Arial" w:hAnsi="Arial" w:cs="Arial"/>
        </w:rPr>
        <w:t xml:space="preserve">Se a hipótese nula for rejeitada, a conclusão é que o modelo de efeitos aleatórios não é adequado, e que é preferível empregar o modelo de efeitos fixos e, nesse caso, as inferências estatísticas serão condicionadas a </w:t>
      </w:r>
      <m:oMath>
        <m:sSub>
          <m:sSubPr>
            <m:ctrlPr>
              <w:rPr>
                <w:rFonts w:ascii="Cambria Math" w:hAnsi="Cambria Math" w:cs="Arial"/>
              </w:rPr>
            </m:ctrlPr>
          </m:sSubPr>
          <m:e>
            <m:r>
              <w:rPr>
                <w:rFonts w:ascii="Cambria Math" w:hAnsi="Cambria Math" w:cs="Arial"/>
              </w:rPr>
              <m:t>η</m:t>
            </m:r>
          </m:e>
          <m:sub>
            <m:r>
              <w:rPr>
                <w:rFonts w:ascii="Cambria Math" w:hAnsi="Cambria Math" w:cs="Arial"/>
              </w:rPr>
              <m:t>i</m:t>
            </m:r>
          </m:sub>
        </m:sSub>
      </m:oMath>
      <w:r w:rsidRPr="0049714C">
        <w:rPr>
          <w:rFonts w:ascii="Arial" w:hAnsi="Arial" w:cs="Arial"/>
        </w:rPr>
        <w:t xml:space="preserve"> na amostra (GUJARATI, 2006, p. 525).</w:t>
      </w:r>
    </w:p>
    <w:p w14:paraId="670C3BBD" w14:textId="5D71BF64" w:rsidR="002D0203" w:rsidRPr="006140C8" w:rsidRDefault="002D0203" w:rsidP="00802836">
      <w:pPr>
        <w:pStyle w:val="Ttulo"/>
      </w:pPr>
      <w:bookmarkStart w:id="15" w:name="_Toc16492067"/>
      <w:r w:rsidRPr="006140C8">
        <w:t xml:space="preserve">5. Análise dos </w:t>
      </w:r>
      <w:r w:rsidR="00310FDB" w:rsidRPr="006140C8">
        <w:t>Resultados</w:t>
      </w:r>
      <w:bookmarkEnd w:id="15"/>
      <w:r w:rsidR="00310FDB" w:rsidRPr="006140C8">
        <w:t xml:space="preserve"> </w:t>
      </w:r>
    </w:p>
    <w:p w14:paraId="6D4BD0C4" w14:textId="6FC83711" w:rsidR="00A0452B" w:rsidRDefault="00A0452B" w:rsidP="00A0452B">
      <w:pPr>
        <w:spacing w:line="360" w:lineRule="auto"/>
        <w:jc w:val="both"/>
        <w:rPr>
          <w:rFonts w:ascii="Arial" w:hAnsi="Arial" w:cs="Arial"/>
        </w:rPr>
      </w:pPr>
    </w:p>
    <w:p w14:paraId="6EF57BE9" w14:textId="722424BA" w:rsidR="00310FDB" w:rsidRDefault="00310FDB" w:rsidP="00802836">
      <w:pPr>
        <w:pStyle w:val="Subttulo"/>
      </w:pPr>
      <w:bookmarkStart w:id="16" w:name="_Toc16492068"/>
      <w:r w:rsidRPr="006140C8">
        <w:t>5.1 Análise dos resultados de estatística descritiva</w:t>
      </w:r>
      <w:bookmarkEnd w:id="16"/>
    </w:p>
    <w:p w14:paraId="246B7A50" w14:textId="77777777" w:rsidR="00310FDB" w:rsidRDefault="00310FDB" w:rsidP="00A0452B">
      <w:pPr>
        <w:spacing w:line="360" w:lineRule="auto"/>
        <w:jc w:val="both"/>
        <w:rPr>
          <w:rFonts w:ascii="Arial" w:hAnsi="Arial" w:cs="Arial"/>
        </w:rPr>
      </w:pPr>
    </w:p>
    <w:p w14:paraId="1DC56DEB" w14:textId="58175677" w:rsidR="00A0452B" w:rsidRDefault="00A0452B" w:rsidP="00A0452B">
      <w:pPr>
        <w:spacing w:line="360" w:lineRule="auto"/>
        <w:jc w:val="both"/>
        <w:rPr>
          <w:rFonts w:ascii="Arial" w:hAnsi="Arial" w:cs="Arial"/>
        </w:rPr>
      </w:pPr>
      <w:r>
        <w:rPr>
          <w:rFonts w:ascii="Arial" w:hAnsi="Arial" w:cs="Arial"/>
        </w:rPr>
        <w:tab/>
        <w:t xml:space="preserve">Inicia-se com uma análise descritiva da amostra de dados obtida. Cada uma das variáveis deste estudo foi representada por meio dos </w:t>
      </w:r>
      <w:r>
        <w:rPr>
          <w:rFonts w:ascii="Arial" w:hAnsi="Arial" w:cs="Arial"/>
          <w:i/>
          <w:iCs/>
        </w:rPr>
        <w:t>boxplots</w:t>
      </w:r>
      <w:r>
        <w:rPr>
          <w:rFonts w:ascii="Arial" w:hAnsi="Arial" w:cs="Arial"/>
        </w:rPr>
        <w:t xml:space="preserve"> a seguir com a intenção permitir uma visualização rápida de suas principais características.</w:t>
      </w:r>
      <w:r w:rsidR="00D701BA">
        <w:rPr>
          <w:rFonts w:ascii="Arial" w:hAnsi="Arial" w:cs="Arial"/>
        </w:rPr>
        <w:t xml:space="preserve"> Apresenta-se a variável dependente em primeiro lugar a seguir:</w:t>
      </w:r>
    </w:p>
    <w:p w14:paraId="682FC651" w14:textId="08846940" w:rsidR="00D701BA" w:rsidRDefault="00104A71" w:rsidP="00986E56">
      <w:pPr>
        <w:keepNext/>
        <w:spacing w:line="360" w:lineRule="auto"/>
        <w:jc w:val="center"/>
      </w:pPr>
      <w:r>
        <w:rPr>
          <w:noProof/>
        </w:rPr>
        <mc:AlternateContent>
          <mc:Choice Requires="cx1">
            <w:drawing>
              <wp:inline distT="0" distB="0" distL="0" distR="0" wp14:anchorId="5AC68035" wp14:editId="31D0CC17">
                <wp:extent cx="5396230" cy="2877820"/>
                <wp:effectExtent l="0" t="0" r="13970" b="17780"/>
                <wp:docPr id="15" name="Gráfico 15">
                  <a:extLst xmlns:a="http://schemas.openxmlformats.org/drawingml/2006/main">
                    <a:ext uri="{FF2B5EF4-FFF2-40B4-BE49-F238E27FC236}">
                      <a16:creationId xmlns:a16="http://schemas.microsoft.com/office/drawing/2014/main" id="{9E840D54-A15C-CA45-B00D-B4C00447273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5AC68035" wp14:editId="31D0CC17">
                <wp:extent cx="5396230" cy="2877820"/>
                <wp:effectExtent l="0" t="0" r="13970" b="17780"/>
                <wp:docPr id="15" name="Gráfico 15">
                  <a:extLst xmlns:a="http://schemas.openxmlformats.org/drawingml/2006/main">
                    <a:ext uri="{FF2B5EF4-FFF2-40B4-BE49-F238E27FC236}">
                      <a16:creationId xmlns:a16="http://schemas.microsoft.com/office/drawing/2014/main" id="{9E840D54-A15C-CA45-B00D-B4C00447273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 name="Gráfico 15">
                          <a:extLst>
                            <a:ext uri="{FF2B5EF4-FFF2-40B4-BE49-F238E27FC236}">
                              <a16:creationId xmlns:a16="http://schemas.microsoft.com/office/drawing/2014/main" id="{9E840D54-A15C-CA45-B00D-B4C00447273D}"/>
                            </a:ext>
                          </a:extLst>
                        </pic:cNvPr>
                        <pic:cNvPicPr>
                          <a:picLocks noGrp="1" noRot="1" noChangeAspect="1" noMove="1" noResize="1" noEditPoints="1" noAdjustHandles="1" noChangeArrowheads="1" noChangeShapeType="1"/>
                        </pic:cNvPicPr>
                      </pic:nvPicPr>
                      <pic:blipFill>
                        <a:blip r:embed="rId10"/>
                        <a:stretch>
                          <a:fillRect/>
                        </a:stretch>
                      </pic:blipFill>
                      <pic:spPr>
                        <a:xfrm>
                          <a:off x="0" y="0"/>
                          <a:ext cx="5396230" cy="2877820"/>
                        </a:xfrm>
                        <a:prstGeom prst="rect">
                          <a:avLst/>
                        </a:prstGeom>
                      </pic:spPr>
                    </pic:pic>
                  </a:graphicData>
                </a:graphic>
              </wp:inline>
            </w:drawing>
          </mc:Fallback>
        </mc:AlternateContent>
      </w:r>
    </w:p>
    <w:p w14:paraId="2B3118DB" w14:textId="1F6B944D" w:rsidR="00A0452B" w:rsidRPr="00D64A9C" w:rsidRDefault="00D701BA"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1</w:t>
      </w:r>
      <w:r w:rsidR="00854093" w:rsidRPr="00D64A9C">
        <w:rPr>
          <w:rFonts w:ascii="Arial" w:hAnsi="Arial" w:cs="Arial"/>
          <w:color w:val="auto"/>
          <w:sz w:val="20"/>
        </w:rPr>
        <w:fldChar w:fldCharType="end"/>
      </w:r>
      <w:r w:rsidRPr="00D64A9C">
        <w:rPr>
          <w:rFonts w:ascii="Arial" w:hAnsi="Arial" w:cs="Arial"/>
          <w:color w:val="auto"/>
          <w:sz w:val="20"/>
        </w:rPr>
        <w:t xml:space="preserve"> Variação do PIB real per capita no período de 1995 a 2016</w:t>
      </w:r>
    </w:p>
    <w:p w14:paraId="4E512027" w14:textId="140BD6D9" w:rsidR="00A0452B" w:rsidRDefault="00D701BA" w:rsidP="00A0452B">
      <w:pPr>
        <w:spacing w:line="360" w:lineRule="auto"/>
        <w:jc w:val="both"/>
        <w:rPr>
          <w:rFonts w:ascii="Arial" w:hAnsi="Arial" w:cs="Arial"/>
        </w:rPr>
      </w:pPr>
      <w:r>
        <w:rPr>
          <w:rFonts w:ascii="Arial" w:hAnsi="Arial" w:cs="Arial"/>
        </w:rPr>
        <w:tab/>
        <w:t xml:space="preserve">Da análise do </w:t>
      </w:r>
      <w:r>
        <w:rPr>
          <w:rFonts w:ascii="Arial" w:hAnsi="Arial" w:cs="Arial"/>
          <w:i/>
          <w:iCs/>
        </w:rPr>
        <w:t>boxplot</w:t>
      </w:r>
      <w:r>
        <w:rPr>
          <w:rFonts w:ascii="Arial" w:hAnsi="Arial" w:cs="Arial"/>
        </w:rPr>
        <w:t xml:space="preserve"> anterior é possível notar que a média e a mediana da variação do PIB real </w:t>
      </w:r>
      <w:r>
        <w:rPr>
          <w:rFonts w:ascii="Arial" w:hAnsi="Arial" w:cs="Arial"/>
          <w:i/>
          <w:iCs/>
        </w:rPr>
        <w:t>per capita</w:t>
      </w:r>
      <w:r>
        <w:rPr>
          <w:rFonts w:ascii="Arial" w:hAnsi="Arial" w:cs="Arial"/>
        </w:rPr>
        <w:t xml:space="preserve"> no período estudado foram relativamente próximas entre as macrorregiões, entretanto, a amplitude dessa variação difere de região para região sendo que a Região Norte apresenta a maior delas e a Região Sul a menor. Com relação aos </w:t>
      </w:r>
      <w:r>
        <w:rPr>
          <w:rFonts w:ascii="Arial" w:hAnsi="Arial" w:cs="Arial"/>
          <w:i/>
          <w:iCs/>
        </w:rPr>
        <w:t>outliers</w:t>
      </w:r>
      <w:r>
        <w:rPr>
          <w:rFonts w:ascii="Arial" w:hAnsi="Arial" w:cs="Arial"/>
        </w:rPr>
        <w:t>, a Região Nordeste apresenta o maior número e todos no campo da variação positiva, significa que houve anos e/ou Estados nos quais o crescimento da variável foi significativamente maior do que o restante da amostra da região.</w:t>
      </w:r>
    </w:p>
    <w:p w14:paraId="253DF290" w14:textId="0D825A6C" w:rsidR="00D701BA" w:rsidRDefault="00D701BA" w:rsidP="00A0452B">
      <w:pPr>
        <w:spacing w:line="360" w:lineRule="auto"/>
        <w:jc w:val="both"/>
        <w:rPr>
          <w:rFonts w:ascii="Arial" w:hAnsi="Arial" w:cs="Arial"/>
        </w:rPr>
      </w:pPr>
      <w:r>
        <w:rPr>
          <w:rFonts w:ascii="Arial" w:hAnsi="Arial" w:cs="Arial"/>
        </w:rPr>
        <w:tab/>
        <w:t>A seguir são apresentados os gráficos dos quatro indicadores de descentralização escolhidos para o trabalho</w:t>
      </w:r>
      <w:r w:rsidR="00ED2ABF">
        <w:rPr>
          <w:rFonts w:ascii="Arial" w:hAnsi="Arial" w:cs="Arial"/>
        </w:rPr>
        <w:t>, da seguinte forma: Indicador 1 uma medida de descentralização de receitas, Indicador 2 representa a descentralização de despesas, Indicador 3 representa a descentralização da capacidade em arrecadar e, por fim, Indicador 4 uma média entre os Indicadores 1 e 2.</w:t>
      </w:r>
    </w:p>
    <w:p w14:paraId="38CBFD1D" w14:textId="371157F4" w:rsidR="00ED2ABF" w:rsidRDefault="00104A71" w:rsidP="00986E56">
      <w:pPr>
        <w:keepNext/>
        <w:spacing w:line="360" w:lineRule="auto"/>
        <w:jc w:val="center"/>
      </w:pPr>
      <w:r>
        <w:rPr>
          <w:noProof/>
        </w:rPr>
        <w:lastRenderedPageBreak/>
        <mc:AlternateContent>
          <mc:Choice Requires="cx1">
            <w:drawing>
              <wp:inline distT="0" distB="0" distL="0" distR="0" wp14:anchorId="2F680B1A" wp14:editId="47A25CE1">
                <wp:extent cx="5400000" cy="2880000"/>
                <wp:effectExtent l="0" t="0" r="10795" b="15875"/>
                <wp:docPr id="14" name="Gráfico 14">
                  <a:extLst xmlns:a="http://schemas.openxmlformats.org/drawingml/2006/main">
                    <a:ext uri="{FF2B5EF4-FFF2-40B4-BE49-F238E27FC236}">
                      <a16:creationId xmlns:a16="http://schemas.microsoft.com/office/drawing/2014/main" id="{2C1217FB-E24C-CD4C-99A3-89E883710B2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14:anchorId="2F680B1A" wp14:editId="47A25CE1">
                <wp:extent cx="5400000" cy="2880000"/>
                <wp:effectExtent l="0" t="0" r="10795" b="15875"/>
                <wp:docPr id="14" name="Gráfico 14">
                  <a:extLst xmlns:a="http://schemas.openxmlformats.org/drawingml/2006/main">
                    <a:ext uri="{FF2B5EF4-FFF2-40B4-BE49-F238E27FC236}">
                      <a16:creationId xmlns:a16="http://schemas.microsoft.com/office/drawing/2014/main" id="{2C1217FB-E24C-CD4C-99A3-89E883710B2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 name="Gráfico 14">
                          <a:extLst>
                            <a:ext uri="{FF2B5EF4-FFF2-40B4-BE49-F238E27FC236}">
                              <a16:creationId xmlns:a16="http://schemas.microsoft.com/office/drawing/2014/main" id="{2C1217FB-E24C-CD4C-99A3-89E883710B2F}"/>
                            </a:ext>
                          </a:extLst>
                        </pic:cNvPr>
                        <pic:cNvPicPr>
                          <a:picLocks noGrp="1" noRot="1" noChangeAspect="1" noMove="1" noResize="1" noEditPoints="1" noAdjustHandles="1" noChangeArrowheads="1" noChangeShapeType="1"/>
                        </pic:cNvPicPr>
                      </pic:nvPicPr>
                      <pic:blipFill>
                        <a:blip r:embed="rId12"/>
                        <a:stretch>
                          <a:fillRect/>
                        </a:stretch>
                      </pic:blipFill>
                      <pic:spPr>
                        <a:xfrm>
                          <a:off x="0" y="0"/>
                          <a:ext cx="5399405" cy="2879725"/>
                        </a:xfrm>
                        <a:prstGeom prst="rect">
                          <a:avLst/>
                        </a:prstGeom>
                      </pic:spPr>
                    </pic:pic>
                  </a:graphicData>
                </a:graphic>
              </wp:inline>
            </w:drawing>
          </mc:Fallback>
        </mc:AlternateContent>
      </w:r>
    </w:p>
    <w:p w14:paraId="1883955F" w14:textId="477432A0" w:rsidR="00D701BA" w:rsidRPr="00D64A9C" w:rsidRDefault="00ED2ABF"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2</w:t>
      </w:r>
      <w:r w:rsidR="00854093" w:rsidRPr="00D64A9C">
        <w:rPr>
          <w:rFonts w:ascii="Arial" w:hAnsi="Arial" w:cs="Arial"/>
          <w:color w:val="auto"/>
          <w:sz w:val="20"/>
        </w:rPr>
        <w:fldChar w:fldCharType="end"/>
      </w:r>
      <w:r w:rsidRPr="00D64A9C">
        <w:rPr>
          <w:rFonts w:ascii="Arial" w:hAnsi="Arial" w:cs="Arial"/>
          <w:color w:val="auto"/>
          <w:sz w:val="20"/>
        </w:rPr>
        <w:t xml:space="preserve"> Distribuição dos valores do Indicador 1 no período de 1995 a 2016.</w:t>
      </w:r>
    </w:p>
    <w:p w14:paraId="6EF52A1F" w14:textId="6ADA1998" w:rsidR="00A0452B" w:rsidRPr="00D64A9C" w:rsidRDefault="00104A71" w:rsidP="00986E56">
      <w:pPr>
        <w:pStyle w:val="Legenda"/>
        <w:rPr>
          <w:rFonts w:ascii="Arial" w:hAnsi="Arial" w:cs="Arial"/>
          <w:color w:val="auto"/>
          <w:sz w:val="20"/>
        </w:rPr>
      </w:pPr>
      <w:r>
        <w:rPr>
          <w:noProof/>
        </w:rPr>
        <mc:AlternateContent>
          <mc:Choice Requires="cx1">
            <w:drawing>
              <wp:inline distT="0" distB="0" distL="0" distR="0" wp14:anchorId="4516097F" wp14:editId="1AF65FE5">
                <wp:extent cx="5400000" cy="2880000"/>
                <wp:effectExtent l="0" t="0" r="10795" b="15875"/>
                <wp:docPr id="1" name="Gráfico 1">
                  <a:extLst xmlns:a="http://schemas.openxmlformats.org/drawingml/2006/main">
                    <a:ext uri="{FF2B5EF4-FFF2-40B4-BE49-F238E27FC236}">
                      <a16:creationId xmlns:a16="http://schemas.microsoft.com/office/drawing/2014/main" id="{FC609C80-54CA-B545-9CB9-1B03053B292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4516097F" wp14:editId="1AF65FE5">
                <wp:extent cx="5400000" cy="2880000"/>
                <wp:effectExtent l="0" t="0" r="10795" b="15875"/>
                <wp:docPr id="1" name="Gráfico 1">
                  <a:extLst xmlns:a="http://schemas.openxmlformats.org/drawingml/2006/main">
                    <a:ext uri="{FF2B5EF4-FFF2-40B4-BE49-F238E27FC236}">
                      <a16:creationId xmlns:a16="http://schemas.microsoft.com/office/drawing/2014/main" id="{FC609C80-54CA-B545-9CB9-1B03053B292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Gráfico 1">
                          <a:extLst>
                            <a:ext uri="{FF2B5EF4-FFF2-40B4-BE49-F238E27FC236}">
                              <a16:creationId xmlns:a16="http://schemas.microsoft.com/office/drawing/2014/main" id="{FC609C80-54CA-B545-9CB9-1B03053B2926}"/>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5399405" cy="2879725"/>
                        </a:xfrm>
                        <a:prstGeom prst="rect">
                          <a:avLst/>
                        </a:prstGeom>
                      </pic:spPr>
                    </pic:pic>
                  </a:graphicData>
                </a:graphic>
              </wp:inline>
            </w:drawing>
          </mc:Fallback>
        </mc:AlternateContent>
      </w:r>
      <w:r w:rsidRPr="00D64A9C">
        <w:rPr>
          <w:rFonts w:ascii="Arial" w:hAnsi="Arial" w:cs="Arial"/>
          <w:color w:val="auto"/>
          <w:sz w:val="20"/>
        </w:rPr>
        <w:t xml:space="preserve"> </w:t>
      </w:r>
      <w:r w:rsidR="00ED2ABF"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3</w:t>
      </w:r>
      <w:r w:rsidR="00854093" w:rsidRPr="00D64A9C">
        <w:rPr>
          <w:rFonts w:ascii="Arial" w:hAnsi="Arial" w:cs="Arial"/>
          <w:color w:val="auto"/>
          <w:sz w:val="20"/>
        </w:rPr>
        <w:fldChar w:fldCharType="end"/>
      </w:r>
      <w:r w:rsidR="00ED2ABF" w:rsidRPr="00D64A9C">
        <w:rPr>
          <w:rFonts w:ascii="Arial" w:hAnsi="Arial" w:cs="Arial"/>
          <w:color w:val="auto"/>
          <w:sz w:val="20"/>
        </w:rPr>
        <w:t xml:space="preserve"> Distribuição dos valores do Indicador 2 no período de 1995 a 2016.</w:t>
      </w:r>
    </w:p>
    <w:p w14:paraId="145635EB" w14:textId="52D1F0F8" w:rsidR="00ED2ABF" w:rsidRDefault="00104A71" w:rsidP="00986E56">
      <w:pPr>
        <w:keepNext/>
        <w:spacing w:line="360" w:lineRule="auto"/>
        <w:jc w:val="center"/>
      </w:pPr>
      <w:r>
        <w:rPr>
          <w:noProof/>
        </w:rPr>
        <mc:AlternateContent>
          <mc:Choice Requires="cx1">
            <w:drawing>
              <wp:inline distT="0" distB="0" distL="0" distR="0" wp14:anchorId="5B163BA6" wp14:editId="513900E5">
                <wp:extent cx="5400000" cy="2880000"/>
                <wp:effectExtent l="0" t="0" r="10795" b="15875"/>
                <wp:docPr id="10" name="Gráfico 10">
                  <a:extLst xmlns:a="http://schemas.openxmlformats.org/drawingml/2006/main">
                    <a:ext uri="{FF2B5EF4-FFF2-40B4-BE49-F238E27FC236}">
                      <a16:creationId xmlns:a16="http://schemas.microsoft.com/office/drawing/2014/main" id="{8C060BDD-B9B8-3E45-A806-B87C9B049B0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inline>
            </w:drawing>
          </mc:Choice>
          <mc:Fallback>
            <w:drawing>
              <wp:inline distT="0" distB="0" distL="0" distR="0" wp14:anchorId="5B163BA6" wp14:editId="513900E5">
                <wp:extent cx="5400000" cy="2880000"/>
                <wp:effectExtent l="0" t="0" r="10795" b="15875"/>
                <wp:docPr id="10" name="Gráfico 10">
                  <a:extLst xmlns:a="http://schemas.openxmlformats.org/drawingml/2006/main">
                    <a:ext uri="{FF2B5EF4-FFF2-40B4-BE49-F238E27FC236}">
                      <a16:creationId xmlns:a16="http://schemas.microsoft.com/office/drawing/2014/main" id="{8C060BDD-B9B8-3E45-A806-B87C9B049B0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Gráfico 10">
                          <a:extLst>
                            <a:ext uri="{FF2B5EF4-FFF2-40B4-BE49-F238E27FC236}">
                              <a16:creationId xmlns:a16="http://schemas.microsoft.com/office/drawing/2014/main" id="{8C060BDD-B9B8-3E45-A806-B87C9B049B0E}"/>
                            </a:ext>
                          </a:extLst>
                        </pic:cNvPr>
                        <pic:cNvPicPr>
                          <a:picLocks noGrp="1" noRot="1" noChangeAspect="1" noMove="1" noResize="1" noEditPoints="1" noAdjustHandles="1" noChangeArrowheads="1" noChangeShapeType="1"/>
                        </pic:cNvPicPr>
                      </pic:nvPicPr>
                      <pic:blipFill>
                        <a:blip r:embed="rId16"/>
                        <a:stretch>
                          <a:fillRect/>
                        </a:stretch>
                      </pic:blipFill>
                      <pic:spPr>
                        <a:xfrm>
                          <a:off x="0" y="0"/>
                          <a:ext cx="5399405" cy="2879725"/>
                        </a:xfrm>
                        <a:prstGeom prst="rect">
                          <a:avLst/>
                        </a:prstGeom>
                      </pic:spPr>
                    </pic:pic>
                  </a:graphicData>
                </a:graphic>
              </wp:inline>
            </w:drawing>
          </mc:Fallback>
        </mc:AlternateContent>
      </w:r>
    </w:p>
    <w:p w14:paraId="5D9C73E9" w14:textId="22711190" w:rsidR="00ED2ABF" w:rsidRPr="00D64A9C" w:rsidRDefault="00ED2ABF"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4</w:t>
      </w:r>
      <w:r w:rsidR="00854093" w:rsidRPr="00D64A9C">
        <w:rPr>
          <w:rFonts w:ascii="Arial" w:hAnsi="Arial" w:cs="Arial"/>
          <w:color w:val="auto"/>
          <w:sz w:val="20"/>
        </w:rPr>
        <w:fldChar w:fldCharType="end"/>
      </w:r>
      <w:r w:rsidRPr="00D64A9C">
        <w:rPr>
          <w:rFonts w:ascii="Arial" w:hAnsi="Arial" w:cs="Arial"/>
          <w:color w:val="auto"/>
          <w:sz w:val="20"/>
        </w:rPr>
        <w:t xml:space="preserve"> Distribuição dos valores do Indicador 3 no período de 1995 a 2016.</w:t>
      </w:r>
    </w:p>
    <w:p w14:paraId="299C8345" w14:textId="13D5AE66" w:rsidR="00ED2ABF" w:rsidRDefault="00104A71" w:rsidP="00986E56">
      <w:pPr>
        <w:keepNext/>
        <w:spacing w:line="360" w:lineRule="auto"/>
        <w:jc w:val="center"/>
      </w:pPr>
      <w:r>
        <w:rPr>
          <w:noProof/>
        </w:rPr>
        <w:lastRenderedPageBreak/>
        <mc:AlternateContent>
          <mc:Choice Requires="cx1">
            <w:drawing>
              <wp:inline distT="0" distB="0" distL="0" distR="0" wp14:anchorId="07903AA0" wp14:editId="3B444AC5">
                <wp:extent cx="5400000" cy="2880000"/>
                <wp:effectExtent l="0" t="0" r="10795" b="15875"/>
                <wp:docPr id="16" name="Gráfico 16">
                  <a:extLst xmlns:a="http://schemas.openxmlformats.org/drawingml/2006/main">
                    <a:ext uri="{FF2B5EF4-FFF2-40B4-BE49-F238E27FC236}">
                      <a16:creationId xmlns:a16="http://schemas.microsoft.com/office/drawing/2014/main" id="{79253A0A-D2B6-9A41-B0DA-2E219B40101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7"/>
                  </a:graphicData>
                </a:graphic>
              </wp:inline>
            </w:drawing>
          </mc:Choice>
          <mc:Fallback>
            <w:drawing>
              <wp:inline distT="0" distB="0" distL="0" distR="0" wp14:anchorId="07903AA0" wp14:editId="3B444AC5">
                <wp:extent cx="5400000" cy="2880000"/>
                <wp:effectExtent l="0" t="0" r="10795" b="15875"/>
                <wp:docPr id="16" name="Gráfico 16">
                  <a:extLst xmlns:a="http://schemas.openxmlformats.org/drawingml/2006/main">
                    <a:ext uri="{FF2B5EF4-FFF2-40B4-BE49-F238E27FC236}">
                      <a16:creationId xmlns:a16="http://schemas.microsoft.com/office/drawing/2014/main" id="{79253A0A-D2B6-9A41-B0DA-2E219B40101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 name="Gráfico 16">
                          <a:extLst>
                            <a:ext uri="{FF2B5EF4-FFF2-40B4-BE49-F238E27FC236}">
                              <a16:creationId xmlns:a16="http://schemas.microsoft.com/office/drawing/2014/main" id="{79253A0A-D2B6-9A41-B0DA-2E219B401014}"/>
                            </a:ext>
                          </a:extLst>
                        </pic:cNvPr>
                        <pic:cNvPicPr>
                          <a:picLocks noGrp="1" noRot="1" noChangeAspect="1" noMove="1" noResize="1" noEditPoints="1" noAdjustHandles="1" noChangeArrowheads="1" noChangeShapeType="1"/>
                        </pic:cNvPicPr>
                      </pic:nvPicPr>
                      <pic:blipFill>
                        <a:blip r:embed="rId18"/>
                        <a:stretch>
                          <a:fillRect/>
                        </a:stretch>
                      </pic:blipFill>
                      <pic:spPr>
                        <a:xfrm>
                          <a:off x="0" y="0"/>
                          <a:ext cx="5399405" cy="2879725"/>
                        </a:xfrm>
                        <a:prstGeom prst="rect">
                          <a:avLst/>
                        </a:prstGeom>
                      </pic:spPr>
                    </pic:pic>
                  </a:graphicData>
                </a:graphic>
              </wp:inline>
            </w:drawing>
          </mc:Fallback>
        </mc:AlternateContent>
      </w:r>
    </w:p>
    <w:p w14:paraId="63C15E04" w14:textId="4B1EAE62" w:rsidR="00ED2ABF" w:rsidRPr="00D64A9C" w:rsidRDefault="00ED2ABF"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5</w:t>
      </w:r>
      <w:r w:rsidR="00854093" w:rsidRPr="00D64A9C">
        <w:rPr>
          <w:rFonts w:ascii="Arial" w:hAnsi="Arial" w:cs="Arial"/>
          <w:color w:val="auto"/>
          <w:sz w:val="20"/>
        </w:rPr>
        <w:fldChar w:fldCharType="end"/>
      </w:r>
      <w:r w:rsidRPr="00D64A9C">
        <w:rPr>
          <w:rFonts w:ascii="Arial" w:hAnsi="Arial" w:cs="Arial"/>
          <w:color w:val="auto"/>
          <w:sz w:val="20"/>
        </w:rPr>
        <w:t xml:space="preserve"> Distribuição dos valores do Indicador 4 no período de 1995 a 2016.</w:t>
      </w:r>
    </w:p>
    <w:p w14:paraId="25540346" w14:textId="26FF6E17" w:rsidR="00ED2ABF" w:rsidRDefault="002A4A9E" w:rsidP="00A0452B">
      <w:pPr>
        <w:spacing w:line="360" w:lineRule="auto"/>
        <w:jc w:val="both"/>
        <w:rPr>
          <w:rFonts w:ascii="Arial" w:hAnsi="Arial" w:cs="Arial"/>
        </w:rPr>
      </w:pPr>
      <w:r>
        <w:rPr>
          <w:rFonts w:ascii="Arial" w:hAnsi="Arial" w:cs="Arial"/>
        </w:rPr>
        <w:tab/>
        <w:t>Os indicadores 1 e 2, e naturalmente o 4 por ser uma combinação dos dois primeiros, se comportam de forma muito similar em cada uma das regiões analisadas. Verifica-se que a maior amplitude de variação é observada na Região Sudeste, enquanto que no Nordeste foi observada a menor variação nestas variáveis. O fato de o Sudeste apresentar uma distribuição mais dispersa pode ser explicado pela presença do Estado de São Paulo, dada a ordem de grandeza de suas receitas e despesas os efeitos sobre a amostra são grandes e causam o efeito observado</w:t>
      </w:r>
      <w:r w:rsidR="001F7BB2">
        <w:rPr>
          <w:rFonts w:ascii="Arial" w:hAnsi="Arial" w:cs="Arial"/>
        </w:rPr>
        <w:t>.</w:t>
      </w:r>
    </w:p>
    <w:p w14:paraId="302F32D6" w14:textId="5A978C72" w:rsidR="001F7BB2" w:rsidRDefault="001F7BB2" w:rsidP="00A0452B">
      <w:pPr>
        <w:spacing w:line="360" w:lineRule="auto"/>
        <w:jc w:val="both"/>
        <w:rPr>
          <w:rFonts w:ascii="Arial" w:hAnsi="Arial" w:cs="Arial"/>
        </w:rPr>
      </w:pPr>
      <w:r>
        <w:rPr>
          <w:rFonts w:ascii="Arial" w:hAnsi="Arial" w:cs="Arial"/>
        </w:rPr>
        <w:tab/>
        <w:t>O Indicador 3 traz consigo algumas informações interessantes, em primeiro lugar evidencia um comportamento diferente dos outros três utilizados, além disso, por meio da observação da distribuição de cada macrorregião pode-se verificar que as região Centro-Oeste, Sudeste e Sul possuem uma autonomia arrecadatória, em média, maior que as regiões Nordeste e Norte. Além disto, dentro de cada região e no período analisado, a variabilidade deste indicador foi consideravelmente maior no Nordeste e no Norte, enquanto que nas ouras três regiões ela não foi muito representativa, foi praticamente constante na Região Sul enquanto variou numa amplitude de praticamente 10 a 75% no período dentro da Região Norte.</w:t>
      </w:r>
    </w:p>
    <w:p w14:paraId="32BC59D3" w14:textId="5D5696D9" w:rsidR="002A4A9E" w:rsidRDefault="000D6A1D" w:rsidP="00A0452B">
      <w:pPr>
        <w:spacing w:line="360" w:lineRule="auto"/>
        <w:jc w:val="both"/>
        <w:rPr>
          <w:rFonts w:ascii="Arial" w:hAnsi="Arial" w:cs="Arial"/>
        </w:rPr>
      </w:pPr>
      <w:r>
        <w:rPr>
          <w:rFonts w:ascii="Arial" w:hAnsi="Arial" w:cs="Arial"/>
        </w:rPr>
        <w:tab/>
        <w:t>Em continuidade a esta análise descritiva e preliminar dos dados utilizados, a seguir são apresentados os gráficos da</w:t>
      </w:r>
      <w:r w:rsidR="008C1257">
        <w:rPr>
          <w:rFonts w:ascii="Arial" w:hAnsi="Arial" w:cs="Arial"/>
        </w:rPr>
        <w:t>s outras variáveis explicativas escolhidas, quais sejam: índice de Gini, Taxa de Analfabetismo, Taxa de Mortalidade Infantil e Taxa de Homicídios.</w:t>
      </w:r>
    </w:p>
    <w:p w14:paraId="0C3D9367" w14:textId="7E2FA45F" w:rsidR="008C1257" w:rsidRDefault="00104A71" w:rsidP="00986E56">
      <w:pPr>
        <w:keepNext/>
        <w:spacing w:line="360" w:lineRule="auto"/>
        <w:jc w:val="center"/>
      </w:pPr>
      <w:r>
        <w:rPr>
          <w:noProof/>
        </w:rPr>
        <w:lastRenderedPageBreak/>
        <mc:AlternateContent>
          <mc:Choice Requires="cx1">
            <w:drawing>
              <wp:inline distT="0" distB="0" distL="0" distR="0" wp14:anchorId="04C1C99A" wp14:editId="7FE09CE7">
                <wp:extent cx="5400000" cy="2880000"/>
                <wp:effectExtent l="0" t="0" r="10795" b="15875"/>
                <wp:docPr id="17" name="Gráfico 17">
                  <a:extLst xmlns:a="http://schemas.openxmlformats.org/drawingml/2006/main">
                    <a:ext uri="{FF2B5EF4-FFF2-40B4-BE49-F238E27FC236}">
                      <a16:creationId xmlns:a16="http://schemas.microsoft.com/office/drawing/2014/main" id="{33AE1682-EEE6-7149-8481-B4E7050F91A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9"/>
                  </a:graphicData>
                </a:graphic>
              </wp:inline>
            </w:drawing>
          </mc:Choice>
          <mc:Fallback>
            <w:drawing>
              <wp:inline distT="0" distB="0" distL="0" distR="0" wp14:anchorId="04C1C99A" wp14:editId="7FE09CE7">
                <wp:extent cx="5400000" cy="2880000"/>
                <wp:effectExtent l="0" t="0" r="10795" b="15875"/>
                <wp:docPr id="17" name="Gráfico 17">
                  <a:extLst xmlns:a="http://schemas.openxmlformats.org/drawingml/2006/main">
                    <a:ext uri="{FF2B5EF4-FFF2-40B4-BE49-F238E27FC236}">
                      <a16:creationId xmlns:a16="http://schemas.microsoft.com/office/drawing/2014/main" id="{33AE1682-EEE6-7149-8481-B4E7050F91A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 name="Gráfico 17">
                          <a:extLst>
                            <a:ext uri="{FF2B5EF4-FFF2-40B4-BE49-F238E27FC236}">
                              <a16:creationId xmlns:a16="http://schemas.microsoft.com/office/drawing/2014/main" id="{33AE1682-EEE6-7149-8481-B4E7050F91AD}"/>
                            </a:ext>
                          </a:extLst>
                        </pic:cNvPr>
                        <pic:cNvPicPr>
                          <a:picLocks noGrp="1" noRot="1" noChangeAspect="1" noMove="1" noResize="1" noEditPoints="1" noAdjustHandles="1" noChangeArrowheads="1" noChangeShapeType="1"/>
                        </pic:cNvPicPr>
                      </pic:nvPicPr>
                      <pic:blipFill>
                        <a:blip r:embed="rId20"/>
                        <a:stretch>
                          <a:fillRect/>
                        </a:stretch>
                      </pic:blipFill>
                      <pic:spPr>
                        <a:xfrm>
                          <a:off x="0" y="0"/>
                          <a:ext cx="5399405" cy="2879725"/>
                        </a:xfrm>
                        <a:prstGeom prst="rect">
                          <a:avLst/>
                        </a:prstGeom>
                      </pic:spPr>
                    </pic:pic>
                  </a:graphicData>
                </a:graphic>
              </wp:inline>
            </w:drawing>
          </mc:Fallback>
        </mc:AlternateContent>
      </w:r>
    </w:p>
    <w:p w14:paraId="5DB417B2" w14:textId="3ACF7545" w:rsidR="002A4A9E" w:rsidRPr="00D64A9C" w:rsidRDefault="008C1257"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noProof/>
          <w:color w:val="auto"/>
          <w:sz w:val="20"/>
        </w:rPr>
        <w:t>6</w:t>
      </w:r>
      <w:r w:rsidR="00854093" w:rsidRPr="00D64A9C">
        <w:rPr>
          <w:rFonts w:ascii="Arial" w:hAnsi="Arial" w:cs="Arial"/>
          <w:noProof/>
          <w:color w:val="auto"/>
          <w:sz w:val="20"/>
        </w:rPr>
        <w:fldChar w:fldCharType="end"/>
      </w:r>
      <w:r w:rsidRPr="00D64A9C">
        <w:rPr>
          <w:rFonts w:ascii="Arial" w:hAnsi="Arial" w:cs="Arial"/>
          <w:color w:val="auto"/>
          <w:sz w:val="20"/>
        </w:rPr>
        <w:t xml:space="preserve"> Distribuição do Índice de Gini no período de 1995 a 201</w:t>
      </w:r>
      <w:r w:rsidR="00E4232B" w:rsidRPr="00D64A9C">
        <w:rPr>
          <w:rFonts w:ascii="Arial" w:hAnsi="Arial" w:cs="Arial"/>
          <w:color w:val="auto"/>
          <w:sz w:val="20"/>
        </w:rPr>
        <w:t>4</w:t>
      </w:r>
      <w:r w:rsidRPr="00D64A9C">
        <w:rPr>
          <w:rFonts w:ascii="Arial" w:hAnsi="Arial" w:cs="Arial"/>
          <w:color w:val="auto"/>
          <w:sz w:val="20"/>
        </w:rPr>
        <w:t>.</w:t>
      </w:r>
    </w:p>
    <w:p w14:paraId="2677802D" w14:textId="620324D9" w:rsidR="005B1E27" w:rsidRDefault="00104A71" w:rsidP="00104A71">
      <w:pPr>
        <w:keepNext/>
        <w:spacing w:line="360" w:lineRule="auto"/>
        <w:jc w:val="center"/>
      </w:pPr>
      <w:r>
        <w:rPr>
          <w:noProof/>
        </w:rPr>
        <mc:AlternateContent>
          <mc:Choice Requires="cx1">
            <w:drawing>
              <wp:inline distT="0" distB="0" distL="0" distR="0" wp14:anchorId="2DA97EA9" wp14:editId="2AF69D68">
                <wp:extent cx="5400000" cy="2880000"/>
                <wp:effectExtent l="0" t="0" r="10795" b="15875"/>
                <wp:docPr id="18" name="Gráfico 18">
                  <a:extLst xmlns:a="http://schemas.openxmlformats.org/drawingml/2006/main">
                    <a:ext uri="{FF2B5EF4-FFF2-40B4-BE49-F238E27FC236}">
                      <a16:creationId xmlns:a16="http://schemas.microsoft.com/office/drawing/2014/main" id="{16A61FDD-FF0D-FD4A-9FC0-98ACDFF28F8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w:drawing>
              <wp:inline distT="0" distB="0" distL="0" distR="0" wp14:anchorId="2DA97EA9" wp14:editId="2AF69D68">
                <wp:extent cx="5400000" cy="2880000"/>
                <wp:effectExtent l="0" t="0" r="10795" b="15875"/>
                <wp:docPr id="18" name="Gráfico 18">
                  <a:extLst xmlns:a="http://schemas.openxmlformats.org/drawingml/2006/main">
                    <a:ext uri="{FF2B5EF4-FFF2-40B4-BE49-F238E27FC236}">
                      <a16:creationId xmlns:a16="http://schemas.microsoft.com/office/drawing/2014/main" id="{16A61FDD-FF0D-FD4A-9FC0-98ACDFF28F8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 name="Gráfico 18">
                          <a:extLst>
                            <a:ext uri="{FF2B5EF4-FFF2-40B4-BE49-F238E27FC236}">
                              <a16:creationId xmlns:a16="http://schemas.microsoft.com/office/drawing/2014/main" id="{16A61FDD-FF0D-FD4A-9FC0-98ACDFF28F87}"/>
                            </a:ext>
                          </a:extLst>
                        </pic:cNvPr>
                        <pic:cNvPicPr>
                          <a:picLocks noGrp="1" noRot="1" noChangeAspect="1" noMove="1" noResize="1" noEditPoints="1" noAdjustHandles="1" noChangeArrowheads="1" noChangeShapeType="1"/>
                        </pic:cNvPicPr>
                      </pic:nvPicPr>
                      <pic:blipFill>
                        <a:blip r:embed="rId22"/>
                        <a:stretch>
                          <a:fillRect/>
                        </a:stretch>
                      </pic:blipFill>
                      <pic:spPr>
                        <a:xfrm>
                          <a:off x="0" y="0"/>
                          <a:ext cx="5399405" cy="2879725"/>
                        </a:xfrm>
                        <a:prstGeom prst="rect">
                          <a:avLst/>
                        </a:prstGeom>
                      </pic:spPr>
                    </pic:pic>
                  </a:graphicData>
                </a:graphic>
              </wp:inline>
            </w:drawing>
          </mc:Fallback>
        </mc:AlternateContent>
      </w:r>
    </w:p>
    <w:p w14:paraId="3E692C45" w14:textId="41553291" w:rsidR="008C1257" w:rsidRPr="00D64A9C" w:rsidRDefault="005B1E27" w:rsidP="00D64A9C">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7</w:t>
      </w:r>
      <w:r w:rsidR="00854093" w:rsidRPr="00D64A9C">
        <w:rPr>
          <w:rFonts w:ascii="Arial" w:hAnsi="Arial" w:cs="Arial"/>
          <w:color w:val="auto"/>
          <w:sz w:val="20"/>
        </w:rPr>
        <w:fldChar w:fldCharType="end"/>
      </w:r>
      <w:r w:rsidRPr="00D64A9C">
        <w:rPr>
          <w:rFonts w:ascii="Arial" w:hAnsi="Arial" w:cs="Arial"/>
          <w:color w:val="auto"/>
          <w:sz w:val="20"/>
        </w:rPr>
        <w:t xml:space="preserve"> Distribuição da Taxa de Analfabetismo no período de 1995 a 201</w:t>
      </w:r>
      <w:r w:rsidR="00E4232B" w:rsidRPr="00D64A9C">
        <w:rPr>
          <w:rFonts w:ascii="Arial" w:hAnsi="Arial" w:cs="Arial"/>
          <w:color w:val="auto"/>
          <w:sz w:val="20"/>
        </w:rPr>
        <w:t>4</w:t>
      </w:r>
      <w:r w:rsidRPr="00D64A9C">
        <w:rPr>
          <w:rFonts w:ascii="Arial" w:hAnsi="Arial" w:cs="Arial"/>
          <w:color w:val="auto"/>
          <w:sz w:val="20"/>
        </w:rPr>
        <w:t>.</w:t>
      </w:r>
    </w:p>
    <w:p w14:paraId="2D9377FB" w14:textId="0C3FDF85" w:rsidR="00E4232B" w:rsidRDefault="00104A71" w:rsidP="00986E56">
      <w:pPr>
        <w:keepNext/>
        <w:spacing w:line="360" w:lineRule="auto"/>
        <w:jc w:val="center"/>
      </w:pPr>
      <w:r>
        <w:rPr>
          <w:noProof/>
        </w:rPr>
        <mc:AlternateContent>
          <mc:Choice Requires="cx1">
            <w:drawing>
              <wp:inline distT="0" distB="0" distL="0" distR="0" wp14:anchorId="096EAF96" wp14:editId="232548B2">
                <wp:extent cx="5400000" cy="2880000"/>
                <wp:effectExtent l="0" t="0" r="10795" b="15875"/>
                <wp:docPr id="20" name="Gráfico 20">
                  <a:extLst xmlns:a="http://schemas.openxmlformats.org/drawingml/2006/main">
                    <a:ext uri="{FF2B5EF4-FFF2-40B4-BE49-F238E27FC236}">
                      <a16:creationId xmlns:a16="http://schemas.microsoft.com/office/drawing/2014/main" id="{9084B719-2544-E245-8F71-3F889BE10B0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3"/>
                  </a:graphicData>
                </a:graphic>
              </wp:inline>
            </w:drawing>
          </mc:Choice>
          <mc:Fallback>
            <w:drawing>
              <wp:inline distT="0" distB="0" distL="0" distR="0" wp14:anchorId="096EAF96" wp14:editId="232548B2">
                <wp:extent cx="5400000" cy="2880000"/>
                <wp:effectExtent l="0" t="0" r="10795" b="15875"/>
                <wp:docPr id="20" name="Gráfico 20">
                  <a:extLst xmlns:a="http://schemas.openxmlformats.org/drawingml/2006/main">
                    <a:ext uri="{FF2B5EF4-FFF2-40B4-BE49-F238E27FC236}">
                      <a16:creationId xmlns:a16="http://schemas.microsoft.com/office/drawing/2014/main" id="{9084B719-2544-E245-8F71-3F889BE10B0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 name="Gráfico 20">
                          <a:extLst>
                            <a:ext uri="{FF2B5EF4-FFF2-40B4-BE49-F238E27FC236}">
                              <a16:creationId xmlns:a16="http://schemas.microsoft.com/office/drawing/2014/main" id="{9084B719-2544-E245-8F71-3F889BE10B06}"/>
                            </a:ext>
                          </a:extLst>
                        </pic:cNvPr>
                        <pic:cNvPicPr>
                          <a:picLocks noGrp="1" noRot="1" noChangeAspect="1" noMove="1" noResize="1" noEditPoints="1" noAdjustHandles="1" noChangeArrowheads="1" noChangeShapeType="1"/>
                        </pic:cNvPicPr>
                      </pic:nvPicPr>
                      <pic:blipFill>
                        <a:blip r:embed="rId24"/>
                        <a:stretch>
                          <a:fillRect/>
                        </a:stretch>
                      </pic:blipFill>
                      <pic:spPr>
                        <a:xfrm>
                          <a:off x="0" y="0"/>
                          <a:ext cx="5399405" cy="2879725"/>
                        </a:xfrm>
                        <a:prstGeom prst="rect">
                          <a:avLst/>
                        </a:prstGeom>
                      </pic:spPr>
                    </pic:pic>
                  </a:graphicData>
                </a:graphic>
              </wp:inline>
            </w:drawing>
          </mc:Fallback>
        </mc:AlternateContent>
      </w:r>
    </w:p>
    <w:p w14:paraId="027BB247" w14:textId="2118F10C" w:rsidR="00E4232B" w:rsidRPr="00D64A9C" w:rsidRDefault="00E4232B"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00887920" w:rsidRPr="00D64A9C">
        <w:rPr>
          <w:rFonts w:ascii="Arial" w:hAnsi="Arial" w:cs="Arial"/>
          <w:color w:val="auto"/>
          <w:sz w:val="20"/>
        </w:rPr>
        <w:t>8</w:t>
      </w:r>
      <w:r w:rsidR="00854093" w:rsidRPr="00D64A9C">
        <w:rPr>
          <w:rFonts w:ascii="Arial" w:hAnsi="Arial" w:cs="Arial"/>
          <w:color w:val="auto"/>
          <w:sz w:val="20"/>
        </w:rPr>
        <w:fldChar w:fldCharType="end"/>
      </w:r>
      <w:r w:rsidRPr="00D64A9C">
        <w:rPr>
          <w:rFonts w:ascii="Arial" w:hAnsi="Arial" w:cs="Arial"/>
          <w:color w:val="auto"/>
          <w:sz w:val="20"/>
        </w:rPr>
        <w:t xml:space="preserve"> Distribuição da Taxa de Mortalidade por 1.000 nascidos vivos no período de 1995 a 2016.</w:t>
      </w:r>
    </w:p>
    <w:p w14:paraId="60C2B249" w14:textId="33F4EB07" w:rsidR="00887920" w:rsidRDefault="00397952" w:rsidP="00986E56">
      <w:pPr>
        <w:keepNext/>
        <w:spacing w:line="360" w:lineRule="auto"/>
        <w:jc w:val="center"/>
      </w:pPr>
      <w:r>
        <w:rPr>
          <w:noProof/>
        </w:rPr>
        <w:lastRenderedPageBreak/>
        <mc:AlternateContent>
          <mc:Choice Requires="cx1">
            <w:drawing>
              <wp:inline distT="0" distB="0" distL="0" distR="0" wp14:anchorId="55E937E5" wp14:editId="7013833F">
                <wp:extent cx="5400000" cy="2880000"/>
                <wp:effectExtent l="0" t="0" r="10795" b="15875"/>
                <wp:docPr id="21" name="Gráfico 21">
                  <a:extLst xmlns:a="http://schemas.openxmlformats.org/drawingml/2006/main">
                    <a:ext uri="{FF2B5EF4-FFF2-40B4-BE49-F238E27FC236}">
                      <a16:creationId xmlns:a16="http://schemas.microsoft.com/office/drawing/2014/main" id="{A3FDD5A6-6778-EB4A-946C-8F8642DAB049}"/>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5"/>
                  </a:graphicData>
                </a:graphic>
              </wp:inline>
            </w:drawing>
          </mc:Choice>
          <mc:Fallback>
            <w:drawing>
              <wp:inline distT="0" distB="0" distL="0" distR="0" wp14:anchorId="55E937E5" wp14:editId="7013833F">
                <wp:extent cx="5400000" cy="2880000"/>
                <wp:effectExtent l="0" t="0" r="10795" b="15875"/>
                <wp:docPr id="21" name="Gráfico 21">
                  <a:extLst xmlns:a="http://schemas.openxmlformats.org/drawingml/2006/main">
                    <a:ext uri="{FF2B5EF4-FFF2-40B4-BE49-F238E27FC236}">
                      <a16:creationId xmlns:a16="http://schemas.microsoft.com/office/drawing/2014/main" id="{A3FDD5A6-6778-EB4A-946C-8F8642DAB049}"/>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1" name="Gráfico 21">
                          <a:extLst>
                            <a:ext uri="{FF2B5EF4-FFF2-40B4-BE49-F238E27FC236}">
                              <a16:creationId xmlns:a16="http://schemas.microsoft.com/office/drawing/2014/main" id="{A3FDD5A6-6778-EB4A-946C-8F8642DAB049}"/>
                            </a:ext>
                          </a:extLst>
                        </pic:cNvPr>
                        <pic:cNvPicPr>
                          <a:picLocks noGrp="1" noRot="1" noChangeAspect="1" noMove="1" noResize="1" noEditPoints="1" noAdjustHandles="1" noChangeArrowheads="1" noChangeShapeType="1"/>
                        </pic:cNvPicPr>
                      </pic:nvPicPr>
                      <pic:blipFill>
                        <a:blip r:embed="rId26"/>
                        <a:stretch>
                          <a:fillRect/>
                        </a:stretch>
                      </pic:blipFill>
                      <pic:spPr>
                        <a:xfrm>
                          <a:off x="0" y="0"/>
                          <a:ext cx="5399405" cy="2879725"/>
                        </a:xfrm>
                        <a:prstGeom prst="rect">
                          <a:avLst/>
                        </a:prstGeom>
                      </pic:spPr>
                    </pic:pic>
                  </a:graphicData>
                </a:graphic>
              </wp:inline>
            </w:drawing>
          </mc:Fallback>
        </mc:AlternateContent>
      </w:r>
    </w:p>
    <w:p w14:paraId="7B275B35" w14:textId="6114DDB4" w:rsidR="00E4232B" w:rsidRPr="00D64A9C" w:rsidRDefault="00887920" w:rsidP="00986E56">
      <w:pPr>
        <w:pStyle w:val="Legenda"/>
        <w:rPr>
          <w:rFonts w:ascii="Arial" w:hAnsi="Arial" w:cs="Arial"/>
          <w:color w:val="auto"/>
          <w:sz w:val="20"/>
        </w:rPr>
      </w:pPr>
      <w:r w:rsidRPr="00D64A9C">
        <w:rPr>
          <w:rFonts w:ascii="Arial" w:hAnsi="Arial" w:cs="Arial"/>
          <w:color w:val="auto"/>
          <w:sz w:val="20"/>
        </w:rPr>
        <w:t xml:space="preserve">Gráfico </w:t>
      </w:r>
      <w:r w:rsidR="00854093" w:rsidRPr="00D64A9C">
        <w:rPr>
          <w:rFonts w:ascii="Arial" w:hAnsi="Arial" w:cs="Arial"/>
          <w:color w:val="auto"/>
          <w:sz w:val="20"/>
        </w:rPr>
        <w:fldChar w:fldCharType="begin"/>
      </w:r>
      <w:r w:rsidR="00854093" w:rsidRPr="00D64A9C">
        <w:rPr>
          <w:rFonts w:ascii="Arial" w:hAnsi="Arial" w:cs="Arial"/>
          <w:color w:val="auto"/>
          <w:sz w:val="20"/>
        </w:rPr>
        <w:instrText xml:space="preserve"> SEQ Gráfico \* ARABIC </w:instrText>
      </w:r>
      <w:r w:rsidR="00854093" w:rsidRPr="00D64A9C">
        <w:rPr>
          <w:rFonts w:ascii="Arial" w:hAnsi="Arial" w:cs="Arial"/>
          <w:color w:val="auto"/>
          <w:sz w:val="20"/>
        </w:rPr>
        <w:fldChar w:fldCharType="separate"/>
      </w:r>
      <w:r w:rsidRPr="00D64A9C">
        <w:rPr>
          <w:rFonts w:ascii="Arial" w:hAnsi="Arial" w:cs="Arial"/>
          <w:color w:val="auto"/>
          <w:sz w:val="20"/>
        </w:rPr>
        <w:t>9</w:t>
      </w:r>
      <w:r w:rsidR="00854093" w:rsidRPr="00D64A9C">
        <w:rPr>
          <w:rFonts w:ascii="Arial" w:hAnsi="Arial" w:cs="Arial"/>
          <w:color w:val="auto"/>
          <w:sz w:val="20"/>
        </w:rPr>
        <w:fldChar w:fldCharType="end"/>
      </w:r>
      <w:r w:rsidRPr="00D64A9C">
        <w:rPr>
          <w:rFonts w:ascii="Arial" w:hAnsi="Arial" w:cs="Arial"/>
          <w:color w:val="auto"/>
          <w:sz w:val="20"/>
        </w:rPr>
        <w:t xml:space="preserve"> Distribuição da Taxa de Homicídios por 100.000 habitantes no período de 1995 a 2016.</w:t>
      </w:r>
    </w:p>
    <w:p w14:paraId="036A6D73" w14:textId="4A400D54" w:rsidR="00E4232B" w:rsidRDefault="00ED0FFE" w:rsidP="00E4232B">
      <w:pPr>
        <w:spacing w:line="360" w:lineRule="auto"/>
        <w:jc w:val="both"/>
        <w:rPr>
          <w:rFonts w:ascii="Arial" w:hAnsi="Arial" w:cs="Arial"/>
          <w:bCs/>
        </w:rPr>
      </w:pPr>
      <w:r>
        <w:rPr>
          <w:rFonts w:ascii="Arial" w:hAnsi="Arial" w:cs="Arial"/>
          <w:bCs/>
        </w:rPr>
        <w:tab/>
        <w:t xml:space="preserve">Os quatro gráficos anteriores, representando as medidas de distribuição de renda, educação, saúde e segurança, respectivamente, sustentam a necessidade de se dividir </w:t>
      </w:r>
      <w:r w:rsidR="00484632">
        <w:rPr>
          <w:rFonts w:ascii="Arial" w:hAnsi="Arial" w:cs="Arial"/>
          <w:bCs/>
        </w:rPr>
        <w:t>os Estados em macrorregiões geográficas. As amplitudes e variabilidade das observações são substancialmente diferentes entre elas.</w:t>
      </w:r>
    </w:p>
    <w:p w14:paraId="19CD604C" w14:textId="76F3F642" w:rsidR="00310FDB" w:rsidRDefault="00310FDB" w:rsidP="00E4232B">
      <w:pPr>
        <w:spacing w:line="360" w:lineRule="auto"/>
        <w:jc w:val="both"/>
        <w:rPr>
          <w:rFonts w:ascii="Arial" w:hAnsi="Arial" w:cs="Arial"/>
          <w:bCs/>
        </w:rPr>
      </w:pPr>
    </w:p>
    <w:p w14:paraId="083B3A17" w14:textId="1EF7A186" w:rsidR="00310FDB" w:rsidRPr="006140C8" w:rsidRDefault="00310FDB" w:rsidP="00802836">
      <w:pPr>
        <w:pStyle w:val="Subttulo"/>
      </w:pPr>
      <w:bookmarkStart w:id="17" w:name="_Toc16492069"/>
      <w:r w:rsidRPr="006140C8">
        <w:t>5.2 Análise dos resultados econométricos</w:t>
      </w:r>
      <w:bookmarkEnd w:id="17"/>
    </w:p>
    <w:p w14:paraId="1CFC428A" w14:textId="77777777" w:rsidR="00310FDB" w:rsidRDefault="00310FDB" w:rsidP="00E4232B">
      <w:pPr>
        <w:spacing w:line="360" w:lineRule="auto"/>
        <w:jc w:val="both"/>
        <w:rPr>
          <w:rFonts w:ascii="Arial" w:hAnsi="Arial" w:cs="Arial"/>
          <w:bCs/>
        </w:rPr>
      </w:pPr>
    </w:p>
    <w:p w14:paraId="79FD5CD8" w14:textId="59D8B116" w:rsidR="00E4232B" w:rsidRDefault="00456646" w:rsidP="00E4232B">
      <w:pPr>
        <w:spacing w:line="360" w:lineRule="auto"/>
        <w:jc w:val="both"/>
        <w:rPr>
          <w:rFonts w:ascii="Arial" w:hAnsi="Arial" w:cs="Arial"/>
          <w:bCs/>
        </w:rPr>
      </w:pPr>
      <w:r>
        <w:rPr>
          <w:rFonts w:ascii="Arial" w:hAnsi="Arial" w:cs="Arial"/>
          <w:bCs/>
        </w:rPr>
        <w:tab/>
        <w:t>A seguir serão apresentados os resultados empíricos da análise, o modelo foi aplicado a cada uma das macrorregiões e cada tabela de resultados será comentada</w:t>
      </w:r>
      <w:r w:rsidR="002D7804">
        <w:rPr>
          <w:rFonts w:ascii="Arial" w:hAnsi="Arial" w:cs="Arial"/>
          <w:bCs/>
        </w:rPr>
        <w:t xml:space="preserve"> individualmente antes de serem apresentadas as conclusões</w:t>
      </w:r>
      <w:r>
        <w:rPr>
          <w:rFonts w:ascii="Arial" w:hAnsi="Arial" w:cs="Arial"/>
          <w:bCs/>
        </w:rPr>
        <w:t>.</w:t>
      </w:r>
    </w:p>
    <w:p w14:paraId="67441245" w14:textId="4594666F" w:rsidR="0097513B" w:rsidRPr="00CD6740" w:rsidRDefault="00CE5F6A" w:rsidP="00E4232B">
      <w:pPr>
        <w:spacing w:line="360" w:lineRule="auto"/>
        <w:jc w:val="both"/>
        <w:rPr>
          <w:rFonts w:ascii="Arial" w:hAnsi="Arial" w:cs="Arial"/>
          <w:bCs/>
        </w:rPr>
      </w:pPr>
      <w:r>
        <w:rPr>
          <w:rFonts w:ascii="Arial" w:hAnsi="Arial" w:cs="Arial"/>
          <w:bCs/>
        </w:rPr>
        <w:tab/>
      </w:r>
      <w:r w:rsidRPr="00CD6740">
        <w:rPr>
          <w:rFonts w:ascii="Arial" w:hAnsi="Arial" w:cs="Arial"/>
          <w:bCs/>
        </w:rPr>
        <w:t>Por ter sido necessário dividir os Estados em grupos conforme a região geográfica a qual pertencem, as amostras resultantes tiveram seu tamanho reduzido, assim, não foi possível implementar o Teste de Hausman para definir o uso da metodologia de painel de dados com efeitos fixos ou com efeitos aleatórios. Além disso, cada região geográfica têm um número diferente de estados, implicando em um número de observações diferentes para cada uma delas. Assim, nesta seção serão reportados os resultados dos modelos de efeitos fixos avaliados para cad</w:t>
      </w:r>
      <w:r w:rsidR="0097513B" w:rsidRPr="00CD6740">
        <w:rPr>
          <w:rFonts w:ascii="Arial" w:hAnsi="Arial" w:cs="Arial"/>
          <w:bCs/>
        </w:rPr>
        <w:t>a grupo de Estados brasileiros.</w:t>
      </w:r>
    </w:p>
    <w:p w14:paraId="2C72A799" w14:textId="1E6DF12B" w:rsidR="00310FDB" w:rsidRPr="0097513B" w:rsidRDefault="0097513B" w:rsidP="0097513B">
      <w:pPr>
        <w:rPr>
          <w:rFonts w:ascii="Arial" w:hAnsi="Arial" w:cs="Arial"/>
          <w:bCs/>
          <w:color w:val="0070C0"/>
        </w:rPr>
      </w:pPr>
      <w:r>
        <w:rPr>
          <w:rFonts w:ascii="Arial" w:hAnsi="Arial" w:cs="Arial"/>
          <w:bCs/>
          <w:color w:val="0070C0"/>
        </w:rPr>
        <w:br w:type="page"/>
      </w:r>
    </w:p>
    <w:p w14:paraId="56F164BA" w14:textId="049E6D27" w:rsidR="00194250" w:rsidRPr="00194250" w:rsidRDefault="004E0034" w:rsidP="00270BD1">
      <w:pPr>
        <w:jc w:val="both"/>
        <w:rPr>
          <w:rFonts w:ascii="Arial" w:hAnsi="Arial" w:cs="Arial"/>
          <w:sz w:val="20"/>
          <w:szCs w:val="20"/>
        </w:rPr>
      </w:pPr>
      <w:r>
        <w:rPr>
          <w:rFonts w:ascii="Arial" w:hAnsi="Arial" w:cs="Arial"/>
          <w:b/>
        </w:rPr>
        <w:lastRenderedPageBreak/>
        <w:t>Tabela 4</w:t>
      </w:r>
      <w:r w:rsidR="00842826" w:rsidRPr="003343E0">
        <w:rPr>
          <w:rFonts w:ascii="Arial" w:hAnsi="Arial" w:cs="Arial"/>
          <w:b/>
        </w:rPr>
        <w:t xml:space="preserve"> – </w:t>
      </w:r>
      <w:r w:rsidR="00842826" w:rsidRPr="003343E0">
        <w:rPr>
          <w:rFonts w:ascii="Arial" w:hAnsi="Arial" w:cs="Arial"/>
        </w:rPr>
        <w:t xml:space="preserve">Resultados econométricos. Modelo de Efeitos Fixos. </w:t>
      </w:r>
      <w:r w:rsidR="000C6089" w:rsidRPr="003343E0">
        <w:rPr>
          <w:rFonts w:ascii="Arial" w:hAnsi="Arial" w:cs="Arial"/>
        </w:rPr>
        <w:t xml:space="preserve">Região </w:t>
      </w:r>
      <w:r w:rsidR="004F2583" w:rsidRPr="003343E0">
        <w:rPr>
          <w:rFonts w:ascii="Arial" w:hAnsi="Arial" w:cs="Arial"/>
        </w:rPr>
        <w:t>Centro-Oeste</w:t>
      </w:r>
      <w:r w:rsidR="00842826" w:rsidRPr="003343E0">
        <w:rPr>
          <w:rFonts w:ascii="Arial" w:hAnsi="Arial" w:cs="Arial"/>
        </w:rPr>
        <w:t xml:space="preserve">. Variável dependente: taxa de variação real do PIB </w:t>
      </w:r>
      <w:r w:rsidR="00842826" w:rsidRPr="003343E0">
        <w:rPr>
          <w:rFonts w:ascii="Arial" w:hAnsi="Arial" w:cs="Arial"/>
          <w:i/>
        </w:rPr>
        <w:t>per capita</w:t>
      </w:r>
      <w:r w:rsidR="00842826" w:rsidRPr="003343E0">
        <w:rPr>
          <w:rFonts w:ascii="Arial" w:hAnsi="Arial" w:cs="Arial"/>
        </w:rPr>
        <w:t>.</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355"/>
        <w:gridCol w:w="1355"/>
        <w:gridCol w:w="1355"/>
        <w:gridCol w:w="1356"/>
        <w:gridCol w:w="1547"/>
      </w:tblGrid>
      <w:tr w:rsidR="002D0203" w14:paraId="38CD3706" w14:textId="0F72ACB1" w:rsidTr="000F0979">
        <w:tc>
          <w:tcPr>
            <w:tcW w:w="1520" w:type="dxa"/>
            <w:tcBorders>
              <w:top w:val="single" w:sz="4" w:space="0" w:color="auto"/>
              <w:bottom w:val="single" w:sz="4" w:space="0" w:color="auto"/>
            </w:tcBorders>
          </w:tcPr>
          <w:p w14:paraId="7BA32D31" w14:textId="339A4365" w:rsidR="002D0203" w:rsidRPr="002D0203" w:rsidRDefault="004F2583" w:rsidP="000F0979">
            <w:pPr>
              <w:jc w:val="both"/>
              <w:rPr>
                <w:rFonts w:ascii="Arial" w:hAnsi="Arial" w:cs="Arial"/>
                <w:sz w:val="20"/>
                <w:szCs w:val="20"/>
              </w:rPr>
            </w:pPr>
            <w:r>
              <w:rPr>
                <w:rFonts w:ascii="Arial" w:hAnsi="Arial" w:cs="Arial"/>
                <w:sz w:val="20"/>
                <w:szCs w:val="20"/>
              </w:rPr>
              <w:t>Variável</w:t>
            </w:r>
          </w:p>
        </w:tc>
        <w:tc>
          <w:tcPr>
            <w:tcW w:w="1355" w:type="dxa"/>
            <w:tcBorders>
              <w:top w:val="single" w:sz="4" w:space="0" w:color="auto"/>
              <w:bottom w:val="single" w:sz="4" w:space="0" w:color="auto"/>
            </w:tcBorders>
          </w:tcPr>
          <w:p w14:paraId="3E09BA98" w14:textId="4ED6CA9D" w:rsidR="002D0203" w:rsidRPr="002D0203" w:rsidRDefault="002D0203" w:rsidP="000F0979">
            <w:pPr>
              <w:jc w:val="center"/>
              <w:rPr>
                <w:rFonts w:ascii="Arial" w:hAnsi="Arial" w:cs="Arial"/>
                <w:sz w:val="20"/>
                <w:szCs w:val="20"/>
              </w:rPr>
            </w:pPr>
            <w:r w:rsidRPr="002D0203">
              <w:rPr>
                <w:rFonts w:ascii="Arial" w:hAnsi="Arial" w:cs="Arial"/>
                <w:sz w:val="20"/>
                <w:szCs w:val="20"/>
              </w:rPr>
              <w:t>Modelo 1</w:t>
            </w:r>
          </w:p>
        </w:tc>
        <w:tc>
          <w:tcPr>
            <w:tcW w:w="1355" w:type="dxa"/>
            <w:tcBorders>
              <w:top w:val="single" w:sz="4" w:space="0" w:color="auto"/>
              <w:bottom w:val="single" w:sz="4" w:space="0" w:color="auto"/>
            </w:tcBorders>
          </w:tcPr>
          <w:p w14:paraId="1648348F" w14:textId="094ED10E" w:rsidR="002D0203" w:rsidRPr="002D0203" w:rsidRDefault="002D0203" w:rsidP="000F0979">
            <w:pPr>
              <w:jc w:val="center"/>
              <w:rPr>
                <w:rFonts w:ascii="Arial" w:hAnsi="Arial" w:cs="Arial"/>
                <w:sz w:val="20"/>
                <w:szCs w:val="20"/>
              </w:rPr>
            </w:pPr>
            <w:r w:rsidRPr="002D0203">
              <w:rPr>
                <w:rFonts w:ascii="Arial" w:hAnsi="Arial" w:cs="Arial"/>
                <w:sz w:val="20"/>
                <w:szCs w:val="20"/>
              </w:rPr>
              <w:t>Modelo 2</w:t>
            </w:r>
          </w:p>
        </w:tc>
        <w:tc>
          <w:tcPr>
            <w:tcW w:w="1355" w:type="dxa"/>
            <w:tcBorders>
              <w:top w:val="single" w:sz="4" w:space="0" w:color="auto"/>
              <w:bottom w:val="single" w:sz="4" w:space="0" w:color="auto"/>
            </w:tcBorders>
          </w:tcPr>
          <w:p w14:paraId="6B151588" w14:textId="676FBC5F" w:rsidR="002D0203" w:rsidRPr="002D0203" w:rsidRDefault="002D0203" w:rsidP="000F0979">
            <w:pPr>
              <w:jc w:val="center"/>
              <w:rPr>
                <w:rFonts w:ascii="Arial" w:hAnsi="Arial" w:cs="Arial"/>
                <w:sz w:val="20"/>
                <w:szCs w:val="20"/>
              </w:rPr>
            </w:pPr>
            <w:r w:rsidRPr="002D0203">
              <w:rPr>
                <w:rFonts w:ascii="Arial" w:hAnsi="Arial" w:cs="Arial"/>
                <w:sz w:val="20"/>
                <w:szCs w:val="20"/>
              </w:rPr>
              <w:t>Modelo 3</w:t>
            </w:r>
          </w:p>
        </w:tc>
        <w:tc>
          <w:tcPr>
            <w:tcW w:w="1356" w:type="dxa"/>
            <w:tcBorders>
              <w:top w:val="single" w:sz="4" w:space="0" w:color="auto"/>
              <w:bottom w:val="single" w:sz="4" w:space="0" w:color="auto"/>
            </w:tcBorders>
          </w:tcPr>
          <w:p w14:paraId="22E7FC77" w14:textId="1C897FFC" w:rsidR="002D0203" w:rsidRPr="002D0203" w:rsidRDefault="002D0203" w:rsidP="000F0979">
            <w:pPr>
              <w:jc w:val="center"/>
              <w:rPr>
                <w:rFonts w:ascii="Arial" w:hAnsi="Arial" w:cs="Arial"/>
                <w:sz w:val="20"/>
                <w:szCs w:val="20"/>
              </w:rPr>
            </w:pPr>
            <w:r w:rsidRPr="002D0203">
              <w:rPr>
                <w:rFonts w:ascii="Arial" w:hAnsi="Arial" w:cs="Arial"/>
                <w:sz w:val="20"/>
                <w:szCs w:val="20"/>
              </w:rPr>
              <w:t>Modelo 4</w:t>
            </w:r>
          </w:p>
        </w:tc>
        <w:tc>
          <w:tcPr>
            <w:tcW w:w="1547" w:type="dxa"/>
            <w:tcBorders>
              <w:top w:val="single" w:sz="4" w:space="0" w:color="auto"/>
              <w:bottom w:val="single" w:sz="4" w:space="0" w:color="auto"/>
            </w:tcBorders>
          </w:tcPr>
          <w:p w14:paraId="3D57BA33" w14:textId="1EAE6BFB" w:rsidR="002D0203" w:rsidRPr="002D0203" w:rsidRDefault="002D0203" w:rsidP="000F0979">
            <w:pPr>
              <w:jc w:val="center"/>
              <w:rPr>
                <w:rFonts w:ascii="Arial" w:hAnsi="Arial" w:cs="Arial"/>
                <w:sz w:val="20"/>
                <w:szCs w:val="20"/>
              </w:rPr>
            </w:pPr>
            <w:r w:rsidRPr="002D0203">
              <w:rPr>
                <w:rFonts w:ascii="Arial" w:hAnsi="Arial" w:cs="Arial"/>
                <w:sz w:val="20"/>
                <w:szCs w:val="20"/>
              </w:rPr>
              <w:t>Modelo Geral</w:t>
            </w:r>
          </w:p>
        </w:tc>
      </w:tr>
      <w:tr w:rsidR="002D0203" w14:paraId="09D5E4AB" w14:textId="698EFD55" w:rsidTr="000F0979">
        <w:tc>
          <w:tcPr>
            <w:tcW w:w="1520" w:type="dxa"/>
            <w:tcBorders>
              <w:top w:val="single" w:sz="4" w:space="0" w:color="auto"/>
            </w:tcBorders>
            <w:vAlign w:val="center"/>
          </w:tcPr>
          <w:p w14:paraId="33C4BA32" w14:textId="61E69B3C" w:rsidR="002D0203" w:rsidRPr="002D0203" w:rsidRDefault="004F2583" w:rsidP="002D0203">
            <w:pPr>
              <w:spacing w:line="360" w:lineRule="auto"/>
              <w:jc w:val="both"/>
              <w:rPr>
                <w:rFonts w:ascii="Arial" w:hAnsi="Arial" w:cs="Arial"/>
                <w:sz w:val="20"/>
                <w:szCs w:val="20"/>
              </w:rPr>
            </w:pPr>
            <w:r>
              <w:rPr>
                <w:rFonts w:ascii="Arial" w:hAnsi="Arial" w:cs="Arial"/>
                <w:sz w:val="20"/>
                <w:szCs w:val="20"/>
              </w:rPr>
              <w:t>C</w:t>
            </w:r>
          </w:p>
        </w:tc>
        <w:tc>
          <w:tcPr>
            <w:tcW w:w="1355" w:type="dxa"/>
            <w:tcBorders>
              <w:top w:val="single" w:sz="4" w:space="0" w:color="auto"/>
            </w:tcBorders>
            <w:vAlign w:val="center"/>
          </w:tcPr>
          <w:p w14:paraId="1F85D5D7" w14:textId="77777777" w:rsidR="002D0203" w:rsidRDefault="004F2583" w:rsidP="004F2583">
            <w:pPr>
              <w:jc w:val="center"/>
              <w:rPr>
                <w:rFonts w:ascii="Arial" w:hAnsi="Arial" w:cs="Arial"/>
                <w:sz w:val="20"/>
                <w:szCs w:val="20"/>
              </w:rPr>
            </w:pPr>
            <w:r>
              <w:rPr>
                <w:rFonts w:ascii="Arial" w:hAnsi="Arial" w:cs="Arial"/>
                <w:sz w:val="20"/>
                <w:szCs w:val="20"/>
              </w:rPr>
              <w:t>0,097</w:t>
            </w:r>
          </w:p>
          <w:p w14:paraId="02616B79" w14:textId="5F6DAAB5" w:rsidR="004F2583" w:rsidRDefault="007D51A9" w:rsidP="004F2583">
            <w:pPr>
              <w:jc w:val="center"/>
              <w:rPr>
                <w:rFonts w:ascii="Arial" w:hAnsi="Arial" w:cs="Arial"/>
                <w:sz w:val="20"/>
                <w:szCs w:val="20"/>
              </w:rPr>
            </w:pPr>
            <w:r>
              <w:rPr>
                <w:rFonts w:ascii="Arial" w:hAnsi="Arial" w:cs="Arial"/>
                <w:sz w:val="20"/>
                <w:szCs w:val="20"/>
              </w:rPr>
              <w:t>[</w:t>
            </w:r>
            <w:r w:rsidR="004F2583">
              <w:rPr>
                <w:rFonts w:ascii="Arial" w:hAnsi="Arial" w:cs="Arial"/>
                <w:sz w:val="20"/>
                <w:szCs w:val="20"/>
              </w:rPr>
              <w:t>0,</w:t>
            </w:r>
            <w:r w:rsidR="00392209">
              <w:rPr>
                <w:rFonts w:ascii="Arial" w:hAnsi="Arial" w:cs="Arial"/>
                <w:sz w:val="20"/>
                <w:szCs w:val="20"/>
              </w:rPr>
              <w:t>3003</w:t>
            </w:r>
            <w:r>
              <w:rPr>
                <w:rFonts w:ascii="Arial" w:hAnsi="Arial" w:cs="Arial"/>
                <w:sz w:val="20"/>
                <w:szCs w:val="20"/>
              </w:rPr>
              <w:t>]</w:t>
            </w:r>
          </w:p>
          <w:p w14:paraId="1D27E1EA" w14:textId="03A23F42" w:rsidR="004F2583" w:rsidRPr="002D0203" w:rsidRDefault="004F2583" w:rsidP="004F2583">
            <w:pPr>
              <w:jc w:val="center"/>
              <w:rPr>
                <w:rFonts w:ascii="Arial" w:hAnsi="Arial" w:cs="Arial"/>
                <w:sz w:val="20"/>
                <w:szCs w:val="20"/>
              </w:rPr>
            </w:pPr>
          </w:p>
        </w:tc>
        <w:tc>
          <w:tcPr>
            <w:tcW w:w="1355" w:type="dxa"/>
            <w:tcBorders>
              <w:top w:val="single" w:sz="4" w:space="0" w:color="auto"/>
            </w:tcBorders>
            <w:vAlign w:val="center"/>
          </w:tcPr>
          <w:p w14:paraId="48D89BC7" w14:textId="77777777" w:rsidR="002D0203" w:rsidRDefault="004F2583" w:rsidP="004F2583">
            <w:pPr>
              <w:jc w:val="center"/>
              <w:rPr>
                <w:rFonts w:ascii="Arial" w:hAnsi="Arial" w:cs="Arial"/>
                <w:sz w:val="20"/>
                <w:szCs w:val="20"/>
              </w:rPr>
            </w:pPr>
            <w:r>
              <w:rPr>
                <w:rFonts w:ascii="Arial" w:hAnsi="Arial" w:cs="Arial"/>
                <w:sz w:val="20"/>
                <w:szCs w:val="20"/>
              </w:rPr>
              <w:t>0,137</w:t>
            </w:r>
          </w:p>
          <w:p w14:paraId="7E31D2CD" w14:textId="242F85E1" w:rsidR="004F2583" w:rsidRDefault="007D51A9" w:rsidP="004F2583">
            <w:pPr>
              <w:jc w:val="center"/>
              <w:rPr>
                <w:rFonts w:ascii="Arial" w:hAnsi="Arial" w:cs="Arial"/>
                <w:sz w:val="20"/>
                <w:szCs w:val="20"/>
              </w:rPr>
            </w:pPr>
            <w:r>
              <w:rPr>
                <w:rFonts w:ascii="Arial" w:hAnsi="Arial" w:cs="Arial"/>
                <w:sz w:val="20"/>
                <w:szCs w:val="20"/>
              </w:rPr>
              <w:t>[</w:t>
            </w:r>
            <w:r w:rsidR="004F2583">
              <w:rPr>
                <w:rFonts w:ascii="Arial" w:hAnsi="Arial" w:cs="Arial"/>
                <w:sz w:val="20"/>
                <w:szCs w:val="20"/>
              </w:rPr>
              <w:t>0,</w:t>
            </w:r>
            <w:r w:rsidR="00392209">
              <w:rPr>
                <w:rFonts w:ascii="Arial" w:hAnsi="Arial" w:cs="Arial"/>
                <w:sz w:val="20"/>
                <w:szCs w:val="20"/>
              </w:rPr>
              <w:t>4079</w:t>
            </w:r>
            <w:r>
              <w:rPr>
                <w:rFonts w:ascii="Arial" w:hAnsi="Arial" w:cs="Arial"/>
                <w:sz w:val="20"/>
                <w:szCs w:val="20"/>
              </w:rPr>
              <w:t>]</w:t>
            </w:r>
          </w:p>
          <w:p w14:paraId="1E128801" w14:textId="37BD8F5E" w:rsidR="004F2583" w:rsidRPr="002D0203" w:rsidRDefault="004F2583" w:rsidP="004F2583">
            <w:pPr>
              <w:jc w:val="center"/>
              <w:rPr>
                <w:rFonts w:ascii="Arial" w:hAnsi="Arial" w:cs="Arial"/>
                <w:sz w:val="20"/>
                <w:szCs w:val="20"/>
              </w:rPr>
            </w:pPr>
          </w:p>
        </w:tc>
        <w:tc>
          <w:tcPr>
            <w:tcW w:w="1355" w:type="dxa"/>
            <w:tcBorders>
              <w:top w:val="single" w:sz="4" w:space="0" w:color="auto"/>
            </w:tcBorders>
            <w:vAlign w:val="center"/>
          </w:tcPr>
          <w:p w14:paraId="1AB30D9C" w14:textId="77777777" w:rsidR="002D0203" w:rsidRDefault="00270BD1" w:rsidP="004F2583">
            <w:pPr>
              <w:jc w:val="center"/>
              <w:rPr>
                <w:rFonts w:ascii="Arial" w:hAnsi="Arial" w:cs="Arial"/>
                <w:sz w:val="20"/>
                <w:szCs w:val="20"/>
              </w:rPr>
            </w:pPr>
            <w:r>
              <w:rPr>
                <w:rFonts w:ascii="Arial" w:hAnsi="Arial" w:cs="Arial"/>
                <w:sz w:val="20"/>
                <w:szCs w:val="20"/>
              </w:rPr>
              <w:t>0,490</w:t>
            </w:r>
          </w:p>
          <w:p w14:paraId="64EDC413" w14:textId="1C900AE6"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1.5038</w:t>
            </w:r>
            <w:r>
              <w:rPr>
                <w:rFonts w:ascii="Arial" w:hAnsi="Arial" w:cs="Arial"/>
                <w:sz w:val="20"/>
                <w:szCs w:val="20"/>
              </w:rPr>
              <w:t>]</w:t>
            </w:r>
          </w:p>
          <w:p w14:paraId="47F85878" w14:textId="6514AAEA" w:rsidR="00270BD1" w:rsidRPr="002D0203" w:rsidRDefault="00270BD1" w:rsidP="004F2583">
            <w:pPr>
              <w:jc w:val="center"/>
              <w:rPr>
                <w:rFonts w:ascii="Arial" w:hAnsi="Arial" w:cs="Arial"/>
                <w:sz w:val="20"/>
                <w:szCs w:val="20"/>
              </w:rPr>
            </w:pPr>
          </w:p>
        </w:tc>
        <w:tc>
          <w:tcPr>
            <w:tcW w:w="1356" w:type="dxa"/>
            <w:tcBorders>
              <w:top w:val="single" w:sz="4" w:space="0" w:color="auto"/>
            </w:tcBorders>
            <w:vAlign w:val="center"/>
          </w:tcPr>
          <w:p w14:paraId="022868C3" w14:textId="77777777" w:rsidR="002D0203" w:rsidRDefault="00270BD1" w:rsidP="004F2583">
            <w:pPr>
              <w:jc w:val="center"/>
              <w:rPr>
                <w:rFonts w:ascii="Arial" w:hAnsi="Arial" w:cs="Arial"/>
                <w:sz w:val="20"/>
                <w:szCs w:val="20"/>
              </w:rPr>
            </w:pPr>
            <w:r>
              <w:rPr>
                <w:rFonts w:ascii="Arial" w:hAnsi="Arial" w:cs="Arial"/>
                <w:sz w:val="20"/>
                <w:szCs w:val="20"/>
              </w:rPr>
              <w:t>0,102</w:t>
            </w:r>
          </w:p>
          <w:p w14:paraId="7A181D95" w14:textId="38DDFD1E" w:rsidR="00270BD1" w:rsidRDefault="007D51A9" w:rsidP="004F2583">
            <w:pPr>
              <w:jc w:val="center"/>
              <w:rPr>
                <w:rFonts w:ascii="Arial" w:hAnsi="Arial" w:cs="Arial"/>
                <w:sz w:val="20"/>
                <w:szCs w:val="20"/>
              </w:rPr>
            </w:pPr>
            <w:r>
              <w:rPr>
                <w:rFonts w:ascii="Arial" w:hAnsi="Arial" w:cs="Arial"/>
                <w:sz w:val="20"/>
                <w:szCs w:val="20"/>
              </w:rPr>
              <w:t>[</w:t>
            </w:r>
            <w:r w:rsidR="00270BD1">
              <w:rPr>
                <w:rFonts w:ascii="Arial" w:hAnsi="Arial" w:cs="Arial"/>
                <w:sz w:val="20"/>
                <w:szCs w:val="20"/>
              </w:rPr>
              <w:t>0,</w:t>
            </w:r>
            <w:r w:rsidR="00392209">
              <w:rPr>
                <w:rFonts w:ascii="Arial" w:hAnsi="Arial" w:cs="Arial"/>
                <w:sz w:val="20"/>
                <w:szCs w:val="20"/>
              </w:rPr>
              <w:t>3094</w:t>
            </w:r>
            <w:r>
              <w:rPr>
                <w:rFonts w:ascii="Arial" w:hAnsi="Arial" w:cs="Arial"/>
                <w:sz w:val="20"/>
                <w:szCs w:val="20"/>
              </w:rPr>
              <w:t>]</w:t>
            </w:r>
          </w:p>
          <w:p w14:paraId="1D66BFB9" w14:textId="06DD7D2F" w:rsidR="00270BD1" w:rsidRPr="002D0203" w:rsidRDefault="00270BD1" w:rsidP="004F2583">
            <w:pPr>
              <w:jc w:val="center"/>
              <w:rPr>
                <w:rFonts w:ascii="Arial" w:hAnsi="Arial" w:cs="Arial"/>
                <w:sz w:val="20"/>
                <w:szCs w:val="20"/>
              </w:rPr>
            </w:pPr>
          </w:p>
        </w:tc>
        <w:tc>
          <w:tcPr>
            <w:tcW w:w="1547" w:type="dxa"/>
            <w:tcBorders>
              <w:top w:val="single" w:sz="4" w:space="0" w:color="auto"/>
            </w:tcBorders>
            <w:vAlign w:val="center"/>
          </w:tcPr>
          <w:p w14:paraId="04B24D8F" w14:textId="77777777" w:rsidR="002D0203" w:rsidRDefault="00270BD1" w:rsidP="004F2583">
            <w:pPr>
              <w:jc w:val="center"/>
              <w:rPr>
                <w:rFonts w:ascii="Arial" w:hAnsi="Arial" w:cs="Arial"/>
                <w:sz w:val="20"/>
                <w:szCs w:val="20"/>
              </w:rPr>
            </w:pPr>
            <w:r>
              <w:rPr>
                <w:rFonts w:ascii="Arial" w:hAnsi="Arial" w:cs="Arial"/>
                <w:sz w:val="20"/>
                <w:szCs w:val="20"/>
              </w:rPr>
              <w:t>0,063</w:t>
            </w:r>
          </w:p>
          <w:p w14:paraId="303069E5" w14:textId="50C01FA6" w:rsidR="00270BD1" w:rsidRDefault="007D51A9" w:rsidP="004F2583">
            <w:pPr>
              <w:jc w:val="center"/>
              <w:rPr>
                <w:rFonts w:ascii="Arial" w:hAnsi="Arial" w:cs="Arial"/>
                <w:sz w:val="20"/>
                <w:szCs w:val="20"/>
              </w:rPr>
            </w:pPr>
            <w:r>
              <w:rPr>
                <w:rFonts w:ascii="Arial" w:hAnsi="Arial" w:cs="Arial"/>
                <w:sz w:val="20"/>
                <w:szCs w:val="20"/>
              </w:rPr>
              <w:t>[</w:t>
            </w:r>
            <w:r w:rsidR="00270BD1">
              <w:rPr>
                <w:rFonts w:ascii="Arial" w:hAnsi="Arial" w:cs="Arial"/>
                <w:sz w:val="20"/>
                <w:szCs w:val="20"/>
              </w:rPr>
              <w:t>0,</w:t>
            </w:r>
            <w:r w:rsidR="00B97079">
              <w:rPr>
                <w:rFonts w:ascii="Arial" w:hAnsi="Arial" w:cs="Arial"/>
                <w:sz w:val="20"/>
                <w:szCs w:val="20"/>
              </w:rPr>
              <w:t>1169</w:t>
            </w:r>
            <w:r>
              <w:rPr>
                <w:rFonts w:ascii="Arial" w:hAnsi="Arial" w:cs="Arial"/>
                <w:sz w:val="20"/>
                <w:szCs w:val="20"/>
              </w:rPr>
              <w:t>]</w:t>
            </w:r>
          </w:p>
          <w:p w14:paraId="2D9998AC" w14:textId="58397AFF" w:rsidR="00270BD1" w:rsidRPr="002D0203" w:rsidRDefault="00270BD1" w:rsidP="004F2583">
            <w:pPr>
              <w:jc w:val="center"/>
              <w:rPr>
                <w:rFonts w:ascii="Arial" w:hAnsi="Arial" w:cs="Arial"/>
                <w:sz w:val="20"/>
                <w:szCs w:val="20"/>
              </w:rPr>
            </w:pPr>
          </w:p>
        </w:tc>
      </w:tr>
      <w:tr w:rsidR="004F2583" w14:paraId="565BFBC9" w14:textId="7882BC72" w:rsidTr="004F2583">
        <w:tc>
          <w:tcPr>
            <w:tcW w:w="1520" w:type="dxa"/>
            <w:vAlign w:val="center"/>
          </w:tcPr>
          <w:p w14:paraId="6DB21A08" w14:textId="7AB51745"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I_1</w:t>
            </w:r>
          </w:p>
        </w:tc>
        <w:tc>
          <w:tcPr>
            <w:tcW w:w="1355" w:type="dxa"/>
            <w:vAlign w:val="center"/>
          </w:tcPr>
          <w:p w14:paraId="6186832A" w14:textId="77777777" w:rsidR="004F2583" w:rsidRDefault="004F2583" w:rsidP="004F2583">
            <w:pPr>
              <w:jc w:val="center"/>
              <w:rPr>
                <w:rFonts w:ascii="Arial" w:hAnsi="Arial" w:cs="Arial"/>
                <w:sz w:val="20"/>
                <w:szCs w:val="20"/>
              </w:rPr>
            </w:pPr>
            <w:r>
              <w:rPr>
                <w:rFonts w:ascii="Arial" w:hAnsi="Arial" w:cs="Arial"/>
                <w:sz w:val="20"/>
                <w:szCs w:val="20"/>
              </w:rPr>
              <w:t>0,551</w:t>
            </w:r>
          </w:p>
          <w:p w14:paraId="254E9BD3" w14:textId="4239EBFA" w:rsidR="004F2583"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1,6456</w:t>
            </w:r>
            <w:r>
              <w:rPr>
                <w:rFonts w:ascii="Arial" w:hAnsi="Arial" w:cs="Arial"/>
                <w:sz w:val="20"/>
                <w:szCs w:val="20"/>
              </w:rPr>
              <w:t>]</w:t>
            </w:r>
            <w:r>
              <w:rPr>
                <w:rFonts w:ascii="Arial" w:hAnsi="Arial" w:cs="Arial"/>
                <w:sz w:val="20"/>
                <w:szCs w:val="20"/>
                <w:vertAlign w:val="superscript"/>
              </w:rPr>
              <w:t>(</w:t>
            </w:r>
            <w:r w:rsidR="00194250" w:rsidRPr="00194250">
              <w:rPr>
                <w:rFonts w:ascii="Arial" w:hAnsi="Arial" w:cs="Arial"/>
                <w:sz w:val="20"/>
                <w:szCs w:val="20"/>
                <w:vertAlign w:val="superscript"/>
              </w:rPr>
              <w:t>c</w:t>
            </w:r>
            <w:r>
              <w:rPr>
                <w:rFonts w:ascii="Arial" w:hAnsi="Arial" w:cs="Arial"/>
                <w:sz w:val="20"/>
                <w:szCs w:val="20"/>
                <w:vertAlign w:val="superscript"/>
              </w:rPr>
              <w:t>)</w:t>
            </w:r>
          </w:p>
          <w:p w14:paraId="649DA1A9" w14:textId="6E649FAD" w:rsidR="004F2583" w:rsidRPr="002D0203" w:rsidRDefault="004F2583" w:rsidP="004F2583">
            <w:pPr>
              <w:jc w:val="center"/>
              <w:rPr>
                <w:rFonts w:ascii="Arial" w:hAnsi="Arial" w:cs="Arial"/>
                <w:sz w:val="20"/>
                <w:szCs w:val="20"/>
              </w:rPr>
            </w:pPr>
          </w:p>
        </w:tc>
        <w:tc>
          <w:tcPr>
            <w:tcW w:w="1355" w:type="dxa"/>
            <w:vAlign w:val="center"/>
          </w:tcPr>
          <w:p w14:paraId="0E4FBADF" w14:textId="2537FAB9"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5" w:type="dxa"/>
            <w:vAlign w:val="center"/>
          </w:tcPr>
          <w:p w14:paraId="23C0B4C3" w14:textId="3397F602"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6" w:type="dxa"/>
            <w:vAlign w:val="center"/>
          </w:tcPr>
          <w:p w14:paraId="32E355B6" w14:textId="67C56EC2"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547" w:type="dxa"/>
            <w:vAlign w:val="center"/>
          </w:tcPr>
          <w:p w14:paraId="0A5EA6C0" w14:textId="77777777" w:rsidR="004F2583" w:rsidRDefault="00270BD1" w:rsidP="004F2583">
            <w:pPr>
              <w:jc w:val="center"/>
              <w:rPr>
                <w:rFonts w:ascii="Arial" w:hAnsi="Arial" w:cs="Arial"/>
                <w:sz w:val="20"/>
                <w:szCs w:val="20"/>
              </w:rPr>
            </w:pPr>
            <w:r>
              <w:rPr>
                <w:rFonts w:ascii="Arial" w:hAnsi="Arial" w:cs="Arial"/>
                <w:sz w:val="20"/>
                <w:szCs w:val="20"/>
              </w:rPr>
              <w:t>1,241</w:t>
            </w:r>
          </w:p>
          <w:p w14:paraId="32F84AFA" w14:textId="57B16701" w:rsidR="00270BD1" w:rsidRDefault="007D51A9" w:rsidP="004F2583">
            <w:pPr>
              <w:jc w:val="center"/>
              <w:rPr>
                <w:rFonts w:ascii="Arial" w:hAnsi="Arial" w:cs="Arial"/>
                <w:sz w:val="20"/>
                <w:szCs w:val="20"/>
              </w:rPr>
            </w:pPr>
            <w:r>
              <w:rPr>
                <w:rFonts w:ascii="Arial" w:hAnsi="Arial" w:cs="Arial"/>
                <w:sz w:val="20"/>
                <w:szCs w:val="20"/>
              </w:rPr>
              <w:t>[</w:t>
            </w:r>
            <w:r w:rsidR="00B97079">
              <w:rPr>
                <w:rFonts w:ascii="Arial" w:hAnsi="Arial" w:cs="Arial"/>
                <w:sz w:val="20"/>
                <w:szCs w:val="20"/>
              </w:rPr>
              <w:t>1,2556</w:t>
            </w:r>
            <w:r>
              <w:rPr>
                <w:rFonts w:ascii="Arial" w:hAnsi="Arial" w:cs="Arial"/>
                <w:sz w:val="20"/>
                <w:szCs w:val="20"/>
              </w:rPr>
              <w:t>]</w:t>
            </w:r>
          </w:p>
          <w:p w14:paraId="4A8469EF" w14:textId="01A50688" w:rsidR="00270BD1" w:rsidRPr="002D0203" w:rsidRDefault="00270BD1" w:rsidP="004F2583">
            <w:pPr>
              <w:jc w:val="center"/>
              <w:rPr>
                <w:rFonts w:ascii="Arial" w:hAnsi="Arial" w:cs="Arial"/>
                <w:sz w:val="20"/>
                <w:szCs w:val="20"/>
              </w:rPr>
            </w:pPr>
          </w:p>
        </w:tc>
      </w:tr>
      <w:tr w:rsidR="004F2583" w14:paraId="6A476596" w14:textId="54E0CDDD" w:rsidTr="004F2583">
        <w:tc>
          <w:tcPr>
            <w:tcW w:w="1520" w:type="dxa"/>
            <w:vAlign w:val="center"/>
          </w:tcPr>
          <w:p w14:paraId="21D7319A" w14:textId="1CB9F1FC"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I_2</w:t>
            </w:r>
          </w:p>
        </w:tc>
        <w:tc>
          <w:tcPr>
            <w:tcW w:w="1355" w:type="dxa"/>
            <w:vAlign w:val="center"/>
          </w:tcPr>
          <w:p w14:paraId="5796A3C8" w14:textId="5E56F45E"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5" w:type="dxa"/>
            <w:vAlign w:val="center"/>
          </w:tcPr>
          <w:p w14:paraId="4D0587E1" w14:textId="77777777" w:rsidR="004F2583" w:rsidRDefault="004F2583" w:rsidP="004F2583">
            <w:pPr>
              <w:jc w:val="center"/>
              <w:rPr>
                <w:rFonts w:ascii="Arial" w:hAnsi="Arial" w:cs="Arial"/>
                <w:sz w:val="20"/>
                <w:szCs w:val="20"/>
              </w:rPr>
            </w:pPr>
            <w:r>
              <w:rPr>
                <w:rFonts w:ascii="Arial" w:hAnsi="Arial" w:cs="Arial"/>
                <w:sz w:val="20"/>
                <w:szCs w:val="20"/>
              </w:rPr>
              <w:t>0,477</w:t>
            </w:r>
          </w:p>
          <w:p w14:paraId="186FE632" w14:textId="0A47AE60" w:rsidR="004F2583"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1,1477</w:t>
            </w:r>
            <w:r>
              <w:rPr>
                <w:rFonts w:ascii="Arial" w:hAnsi="Arial" w:cs="Arial"/>
                <w:sz w:val="20"/>
                <w:szCs w:val="20"/>
              </w:rPr>
              <w:t>]</w:t>
            </w:r>
          </w:p>
          <w:p w14:paraId="49160A65" w14:textId="4C4544DE" w:rsidR="004F2583" w:rsidRPr="002D0203" w:rsidRDefault="004F2583" w:rsidP="004F2583">
            <w:pPr>
              <w:jc w:val="center"/>
              <w:rPr>
                <w:rFonts w:ascii="Arial" w:hAnsi="Arial" w:cs="Arial"/>
                <w:sz w:val="20"/>
                <w:szCs w:val="20"/>
              </w:rPr>
            </w:pPr>
          </w:p>
        </w:tc>
        <w:tc>
          <w:tcPr>
            <w:tcW w:w="1355" w:type="dxa"/>
            <w:vAlign w:val="center"/>
          </w:tcPr>
          <w:p w14:paraId="6D999D41" w14:textId="476CCA41"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6" w:type="dxa"/>
            <w:vAlign w:val="center"/>
          </w:tcPr>
          <w:p w14:paraId="3932BB47" w14:textId="1C3705FC"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547" w:type="dxa"/>
            <w:vAlign w:val="center"/>
          </w:tcPr>
          <w:p w14:paraId="37E90335" w14:textId="77777777" w:rsidR="004F2583" w:rsidRDefault="00270BD1" w:rsidP="004F2583">
            <w:pPr>
              <w:jc w:val="center"/>
              <w:rPr>
                <w:rFonts w:ascii="Arial" w:hAnsi="Arial" w:cs="Arial"/>
                <w:sz w:val="20"/>
                <w:szCs w:val="20"/>
              </w:rPr>
            </w:pPr>
            <w:r>
              <w:rPr>
                <w:rFonts w:ascii="Arial" w:hAnsi="Arial" w:cs="Arial"/>
                <w:sz w:val="20"/>
                <w:szCs w:val="20"/>
              </w:rPr>
              <w:t>- 0,784</w:t>
            </w:r>
          </w:p>
          <w:p w14:paraId="4954DF82" w14:textId="4920E84C" w:rsidR="00270BD1" w:rsidRDefault="007D51A9" w:rsidP="004F2583">
            <w:pPr>
              <w:jc w:val="center"/>
              <w:rPr>
                <w:rFonts w:ascii="Arial" w:hAnsi="Arial" w:cs="Arial"/>
                <w:sz w:val="20"/>
                <w:szCs w:val="20"/>
              </w:rPr>
            </w:pPr>
            <w:r>
              <w:rPr>
                <w:rFonts w:ascii="Arial" w:hAnsi="Arial" w:cs="Arial"/>
                <w:sz w:val="20"/>
                <w:szCs w:val="20"/>
              </w:rPr>
              <w:t>[</w:t>
            </w:r>
            <w:r w:rsidR="00B97079">
              <w:rPr>
                <w:rFonts w:ascii="Arial" w:hAnsi="Arial" w:cs="Arial"/>
                <w:sz w:val="20"/>
                <w:szCs w:val="20"/>
              </w:rPr>
              <w:t>- 0,7946</w:t>
            </w:r>
            <w:r>
              <w:rPr>
                <w:rFonts w:ascii="Arial" w:hAnsi="Arial" w:cs="Arial"/>
                <w:sz w:val="20"/>
                <w:szCs w:val="20"/>
              </w:rPr>
              <w:t>]</w:t>
            </w:r>
          </w:p>
          <w:p w14:paraId="4F468188" w14:textId="0E2555AF" w:rsidR="00270BD1" w:rsidRPr="002D0203" w:rsidRDefault="00270BD1" w:rsidP="004F2583">
            <w:pPr>
              <w:jc w:val="center"/>
              <w:rPr>
                <w:rFonts w:ascii="Arial" w:hAnsi="Arial" w:cs="Arial"/>
                <w:sz w:val="20"/>
                <w:szCs w:val="20"/>
              </w:rPr>
            </w:pPr>
          </w:p>
        </w:tc>
      </w:tr>
      <w:tr w:rsidR="004F2583" w14:paraId="6B9BB58B" w14:textId="5EE42DF9" w:rsidTr="004F2583">
        <w:tc>
          <w:tcPr>
            <w:tcW w:w="1520" w:type="dxa"/>
            <w:vAlign w:val="center"/>
          </w:tcPr>
          <w:p w14:paraId="501120AE" w14:textId="216AA427"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I_3</w:t>
            </w:r>
          </w:p>
        </w:tc>
        <w:tc>
          <w:tcPr>
            <w:tcW w:w="1355" w:type="dxa"/>
            <w:vAlign w:val="center"/>
          </w:tcPr>
          <w:p w14:paraId="3C1F9059" w14:textId="48E9932A"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5" w:type="dxa"/>
            <w:vAlign w:val="center"/>
          </w:tcPr>
          <w:p w14:paraId="21F177B5" w14:textId="6F9A554F"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5" w:type="dxa"/>
            <w:vAlign w:val="center"/>
          </w:tcPr>
          <w:p w14:paraId="62092E02" w14:textId="77777777" w:rsidR="004F2583" w:rsidRDefault="00270BD1" w:rsidP="004F2583">
            <w:pPr>
              <w:jc w:val="center"/>
              <w:rPr>
                <w:rFonts w:ascii="Arial" w:hAnsi="Arial" w:cs="Arial"/>
                <w:sz w:val="20"/>
                <w:szCs w:val="20"/>
              </w:rPr>
            </w:pPr>
            <w:r>
              <w:rPr>
                <w:rFonts w:ascii="Arial" w:hAnsi="Arial" w:cs="Arial"/>
                <w:sz w:val="20"/>
                <w:szCs w:val="20"/>
              </w:rPr>
              <w:t>- 0,210</w:t>
            </w:r>
          </w:p>
          <w:p w14:paraId="2746A78E" w14:textId="5BAACC58"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- 1,2628</w:t>
            </w:r>
            <w:r>
              <w:rPr>
                <w:rFonts w:ascii="Arial" w:hAnsi="Arial" w:cs="Arial"/>
                <w:sz w:val="20"/>
                <w:szCs w:val="20"/>
              </w:rPr>
              <w:t>]</w:t>
            </w:r>
          </w:p>
          <w:p w14:paraId="478A1845" w14:textId="505D5304" w:rsidR="00270BD1" w:rsidRPr="002D0203" w:rsidRDefault="00270BD1" w:rsidP="004F2583">
            <w:pPr>
              <w:jc w:val="center"/>
              <w:rPr>
                <w:rFonts w:ascii="Arial" w:hAnsi="Arial" w:cs="Arial"/>
                <w:sz w:val="20"/>
                <w:szCs w:val="20"/>
              </w:rPr>
            </w:pPr>
          </w:p>
        </w:tc>
        <w:tc>
          <w:tcPr>
            <w:tcW w:w="1356" w:type="dxa"/>
            <w:vAlign w:val="center"/>
          </w:tcPr>
          <w:p w14:paraId="17D1EDC7" w14:textId="05ED518B"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547" w:type="dxa"/>
            <w:vAlign w:val="center"/>
          </w:tcPr>
          <w:p w14:paraId="763F7A8D" w14:textId="77777777" w:rsidR="004F2583" w:rsidRDefault="00270BD1" w:rsidP="004F2583">
            <w:pPr>
              <w:jc w:val="center"/>
              <w:rPr>
                <w:rFonts w:ascii="Arial" w:hAnsi="Arial" w:cs="Arial"/>
                <w:sz w:val="20"/>
                <w:szCs w:val="20"/>
              </w:rPr>
            </w:pPr>
            <w:r>
              <w:rPr>
                <w:rFonts w:ascii="Arial" w:hAnsi="Arial" w:cs="Arial"/>
                <w:sz w:val="20"/>
                <w:szCs w:val="20"/>
              </w:rPr>
              <w:t>0,068</w:t>
            </w:r>
          </w:p>
          <w:p w14:paraId="7882C9C0" w14:textId="16628B3D" w:rsidR="00270BD1" w:rsidRDefault="007D51A9" w:rsidP="004F2583">
            <w:pPr>
              <w:jc w:val="center"/>
              <w:rPr>
                <w:rFonts w:ascii="Arial" w:hAnsi="Arial" w:cs="Arial"/>
                <w:sz w:val="20"/>
                <w:szCs w:val="20"/>
              </w:rPr>
            </w:pPr>
            <w:r>
              <w:rPr>
                <w:rFonts w:ascii="Arial" w:hAnsi="Arial" w:cs="Arial"/>
                <w:sz w:val="20"/>
                <w:szCs w:val="20"/>
              </w:rPr>
              <w:t>[</w:t>
            </w:r>
            <w:r w:rsidR="00270BD1">
              <w:rPr>
                <w:rFonts w:ascii="Arial" w:hAnsi="Arial" w:cs="Arial"/>
                <w:sz w:val="20"/>
                <w:szCs w:val="20"/>
              </w:rPr>
              <w:t>0,</w:t>
            </w:r>
            <w:r w:rsidR="00B97079">
              <w:rPr>
                <w:rFonts w:ascii="Arial" w:hAnsi="Arial" w:cs="Arial"/>
                <w:sz w:val="20"/>
                <w:szCs w:val="20"/>
              </w:rPr>
              <w:t>2339</w:t>
            </w:r>
            <w:r>
              <w:rPr>
                <w:rFonts w:ascii="Arial" w:hAnsi="Arial" w:cs="Arial"/>
                <w:sz w:val="20"/>
                <w:szCs w:val="20"/>
              </w:rPr>
              <w:t>]</w:t>
            </w:r>
          </w:p>
          <w:p w14:paraId="72C4950D" w14:textId="26C54207" w:rsidR="00270BD1" w:rsidRPr="002D0203" w:rsidRDefault="00270BD1" w:rsidP="004F2583">
            <w:pPr>
              <w:jc w:val="center"/>
              <w:rPr>
                <w:rFonts w:ascii="Arial" w:hAnsi="Arial" w:cs="Arial"/>
                <w:sz w:val="20"/>
                <w:szCs w:val="20"/>
              </w:rPr>
            </w:pPr>
          </w:p>
        </w:tc>
      </w:tr>
      <w:tr w:rsidR="004F2583" w14:paraId="29D14AF6" w14:textId="7A970DA1" w:rsidTr="004F2583">
        <w:tc>
          <w:tcPr>
            <w:tcW w:w="1520" w:type="dxa"/>
            <w:vAlign w:val="center"/>
          </w:tcPr>
          <w:p w14:paraId="4F9095EC" w14:textId="05612DF8"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I_4</w:t>
            </w:r>
          </w:p>
        </w:tc>
        <w:tc>
          <w:tcPr>
            <w:tcW w:w="1355" w:type="dxa"/>
            <w:vAlign w:val="center"/>
          </w:tcPr>
          <w:p w14:paraId="78D46575" w14:textId="43BF8401"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5" w:type="dxa"/>
            <w:vAlign w:val="center"/>
          </w:tcPr>
          <w:p w14:paraId="07453AD5" w14:textId="0EC7AA31"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5" w:type="dxa"/>
            <w:vAlign w:val="center"/>
          </w:tcPr>
          <w:p w14:paraId="05EEC4A4" w14:textId="1CD8E242" w:rsidR="004F2583" w:rsidRPr="002D0203" w:rsidRDefault="00456646" w:rsidP="004F2583">
            <w:pPr>
              <w:jc w:val="center"/>
              <w:rPr>
                <w:rFonts w:ascii="Arial" w:hAnsi="Arial" w:cs="Arial"/>
                <w:sz w:val="20"/>
                <w:szCs w:val="20"/>
              </w:rPr>
            </w:pPr>
            <w:r>
              <w:rPr>
                <w:rFonts w:ascii="Arial" w:hAnsi="Arial" w:cs="Arial"/>
                <w:sz w:val="20"/>
                <w:szCs w:val="20"/>
              </w:rPr>
              <w:t>-</w:t>
            </w:r>
          </w:p>
        </w:tc>
        <w:tc>
          <w:tcPr>
            <w:tcW w:w="1356" w:type="dxa"/>
            <w:vAlign w:val="center"/>
          </w:tcPr>
          <w:p w14:paraId="161B4943" w14:textId="77777777" w:rsidR="004F2583" w:rsidRDefault="00270BD1" w:rsidP="004F2583">
            <w:pPr>
              <w:jc w:val="center"/>
              <w:rPr>
                <w:rFonts w:ascii="Arial" w:hAnsi="Arial" w:cs="Arial"/>
                <w:sz w:val="20"/>
                <w:szCs w:val="20"/>
              </w:rPr>
            </w:pPr>
            <w:r>
              <w:rPr>
                <w:rFonts w:ascii="Arial" w:hAnsi="Arial" w:cs="Arial"/>
                <w:sz w:val="20"/>
                <w:szCs w:val="20"/>
              </w:rPr>
              <w:t>0,553</w:t>
            </w:r>
          </w:p>
          <w:p w14:paraId="64BD2B99" w14:textId="37BA8B5F"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1,4562</w:t>
            </w:r>
            <w:r>
              <w:rPr>
                <w:rFonts w:ascii="Arial" w:hAnsi="Arial" w:cs="Arial"/>
                <w:sz w:val="20"/>
                <w:szCs w:val="20"/>
              </w:rPr>
              <w:t>]</w:t>
            </w:r>
          </w:p>
          <w:p w14:paraId="33FA7117" w14:textId="16DE2EFC" w:rsidR="00270BD1" w:rsidRPr="002D0203" w:rsidRDefault="00270BD1" w:rsidP="004F2583">
            <w:pPr>
              <w:jc w:val="center"/>
              <w:rPr>
                <w:rFonts w:ascii="Arial" w:hAnsi="Arial" w:cs="Arial"/>
                <w:sz w:val="20"/>
                <w:szCs w:val="20"/>
              </w:rPr>
            </w:pPr>
          </w:p>
        </w:tc>
        <w:tc>
          <w:tcPr>
            <w:tcW w:w="1547" w:type="dxa"/>
            <w:vAlign w:val="center"/>
          </w:tcPr>
          <w:p w14:paraId="0FF2C7B6" w14:textId="7C5DEF6C" w:rsidR="004F2583" w:rsidRPr="002D0203" w:rsidRDefault="00456646" w:rsidP="004F2583">
            <w:pPr>
              <w:jc w:val="center"/>
              <w:rPr>
                <w:rFonts w:ascii="Arial" w:hAnsi="Arial" w:cs="Arial"/>
                <w:sz w:val="20"/>
                <w:szCs w:val="20"/>
              </w:rPr>
            </w:pPr>
            <w:r>
              <w:rPr>
                <w:rFonts w:ascii="Arial" w:hAnsi="Arial" w:cs="Arial"/>
                <w:sz w:val="20"/>
                <w:szCs w:val="20"/>
              </w:rPr>
              <w:t>-</w:t>
            </w:r>
          </w:p>
        </w:tc>
      </w:tr>
      <w:tr w:rsidR="004F2583" w14:paraId="2F50C0C9" w14:textId="6FE44C15" w:rsidTr="004F2583">
        <w:tc>
          <w:tcPr>
            <w:tcW w:w="1520" w:type="dxa"/>
            <w:vAlign w:val="center"/>
          </w:tcPr>
          <w:p w14:paraId="5D357D68" w14:textId="44364610"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G</w:t>
            </w:r>
          </w:p>
        </w:tc>
        <w:tc>
          <w:tcPr>
            <w:tcW w:w="1355" w:type="dxa"/>
            <w:vAlign w:val="center"/>
          </w:tcPr>
          <w:p w14:paraId="4D1D4814" w14:textId="5D1A58AF" w:rsidR="004F2583" w:rsidRDefault="004F2583" w:rsidP="004F2583">
            <w:pPr>
              <w:jc w:val="center"/>
              <w:rPr>
                <w:rFonts w:ascii="Arial" w:hAnsi="Arial" w:cs="Arial"/>
                <w:sz w:val="20"/>
                <w:szCs w:val="20"/>
              </w:rPr>
            </w:pPr>
            <w:r>
              <w:rPr>
                <w:rFonts w:ascii="Arial" w:hAnsi="Arial" w:cs="Arial"/>
                <w:sz w:val="20"/>
                <w:szCs w:val="20"/>
              </w:rPr>
              <w:t>- 0,839</w:t>
            </w:r>
          </w:p>
          <w:p w14:paraId="087829E7" w14:textId="28682E13" w:rsidR="004F2583"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- 1,4603</w:t>
            </w:r>
            <w:r>
              <w:rPr>
                <w:rFonts w:ascii="Arial" w:hAnsi="Arial" w:cs="Arial"/>
                <w:sz w:val="20"/>
                <w:szCs w:val="20"/>
              </w:rPr>
              <w:t>]</w:t>
            </w:r>
          </w:p>
          <w:p w14:paraId="6818E7E7" w14:textId="53BCAE51" w:rsidR="004F2583" w:rsidRPr="002D0203" w:rsidRDefault="004F2583" w:rsidP="004F2583">
            <w:pPr>
              <w:jc w:val="center"/>
              <w:rPr>
                <w:rFonts w:ascii="Arial" w:hAnsi="Arial" w:cs="Arial"/>
                <w:sz w:val="20"/>
                <w:szCs w:val="20"/>
              </w:rPr>
            </w:pPr>
          </w:p>
        </w:tc>
        <w:tc>
          <w:tcPr>
            <w:tcW w:w="1355" w:type="dxa"/>
            <w:vAlign w:val="center"/>
          </w:tcPr>
          <w:p w14:paraId="67A8E0BA" w14:textId="77777777" w:rsidR="004F2583" w:rsidRDefault="004F2583" w:rsidP="004F2583">
            <w:pPr>
              <w:jc w:val="center"/>
              <w:rPr>
                <w:rFonts w:ascii="Arial" w:hAnsi="Arial" w:cs="Arial"/>
                <w:sz w:val="20"/>
                <w:szCs w:val="20"/>
              </w:rPr>
            </w:pPr>
            <w:r>
              <w:rPr>
                <w:rFonts w:ascii="Arial" w:hAnsi="Arial" w:cs="Arial"/>
                <w:sz w:val="20"/>
                <w:szCs w:val="20"/>
              </w:rPr>
              <w:t>- 0,928</w:t>
            </w:r>
          </w:p>
          <w:p w14:paraId="4057BB40" w14:textId="398C9863" w:rsidR="004F2583"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- 1,6040</w:t>
            </w:r>
            <w:r>
              <w:rPr>
                <w:rFonts w:ascii="Arial" w:hAnsi="Arial" w:cs="Arial"/>
                <w:sz w:val="20"/>
                <w:szCs w:val="20"/>
              </w:rPr>
              <w:t>]</w:t>
            </w:r>
          </w:p>
          <w:p w14:paraId="1E85830E" w14:textId="73C75012" w:rsidR="00270BD1" w:rsidRPr="002D0203" w:rsidRDefault="00270BD1" w:rsidP="004F2583">
            <w:pPr>
              <w:jc w:val="center"/>
              <w:rPr>
                <w:rFonts w:ascii="Arial" w:hAnsi="Arial" w:cs="Arial"/>
                <w:sz w:val="20"/>
                <w:szCs w:val="20"/>
              </w:rPr>
            </w:pPr>
          </w:p>
        </w:tc>
        <w:tc>
          <w:tcPr>
            <w:tcW w:w="1355" w:type="dxa"/>
            <w:vAlign w:val="center"/>
          </w:tcPr>
          <w:p w14:paraId="1EA59372" w14:textId="77777777" w:rsidR="004F2583" w:rsidRDefault="00270BD1" w:rsidP="004F2583">
            <w:pPr>
              <w:jc w:val="center"/>
              <w:rPr>
                <w:rFonts w:ascii="Arial" w:hAnsi="Arial" w:cs="Arial"/>
                <w:sz w:val="20"/>
                <w:szCs w:val="20"/>
              </w:rPr>
            </w:pPr>
            <w:r>
              <w:rPr>
                <w:rFonts w:ascii="Arial" w:hAnsi="Arial" w:cs="Arial"/>
                <w:sz w:val="20"/>
                <w:szCs w:val="20"/>
              </w:rPr>
              <w:t>- 1,007</w:t>
            </w:r>
          </w:p>
          <w:p w14:paraId="04D031BA" w14:textId="24B3EE8B"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- 1,7954</w:t>
            </w:r>
            <w:r>
              <w:rPr>
                <w:rFonts w:ascii="Arial" w:hAnsi="Arial" w:cs="Arial"/>
                <w:sz w:val="20"/>
                <w:szCs w:val="20"/>
              </w:rPr>
              <w:t>]</w:t>
            </w:r>
            <w:r w:rsidR="00842826">
              <w:rPr>
                <w:rFonts w:ascii="Arial" w:hAnsi="Arial" w:cs="Arial"/>
                <w:sz w:val="20"/>
                <w:szCs w:val="20"/>
                <w:vertAlign w:val="superscript"/>
              </w:rPr>
              <w:t>(</w:t>
            </w:r>
            <w:r w:rsidR="00194250" w:rsidRPr="00194250">
              <w:rPr>
                <w:rFonts w:ascii="Arial" w:hAnsi="Arial" w:cs="Arial"/>
                <w:sz w:val="20"/>
                <w:szCs w:val="20"/>
                <w:vertAlign w:val="superscript"/>
              </w:rPr>
              <w:t>c</w:t>
            </w:r>
            <w:r w:rsidR="00842826">
              <w:rPr>
                <w:rFonts w:ascii="Arial" w:hAnsi="Arial" w:cs="Arial"/>
                <w:sz w:val="20"/>
                <w:szCs w:val="20"/>
                <w:vertAlign w:val="superscript"/>
              </w:rPr>
              <w:t>)</w:t>
            </w:r>
          </w:p>
          <w:p w14:paraId="0301666A" w14:textId="51B41681" w:rsidR="00270BD1" w:rsidRPr="002D0203" w:rsidRDefault="00270BD1" w:rsidP="004F2583">
            <w:pPr>
              <w:jc w:val="center"/>
              <w:rPr>
                <w:rFonts w:ascii="Arial" w:hAnsi="Arial" w:cs="Arial"/>
                <w:sz w:val="20"/>
                <w:szCs w:val="20"/>
              </w:rPr>
            </w:pPr>
          </w:p>
        </w:tc>
        <w:tc>
          <w:tcPr>
            <w:tcW w:w="1356" w:type="dxa"/>
            <w:vAlign w:val="center"/>
          </w:tcPr>
          <w:p w14:paraId="11AAB393" w14:textId="77777777" w:rsidR="004F2583" w:rsidRDefault="00270BD1" w:rsidP="004F2583">
            <w:pPr>
              <w:jc w:val="center"/>
              <w:rPr>
                <w:rFonts w:ascii="Arial" w:hAnsi="Arial" w:cs="Arial"/>
                <w:sz w:val="20"/>
                <w:szCs w:val="20"/>
              </w:rPr>
            </w:pPr>
            <w:r>
              <w:rPr>
                <w:rFonts w:ascii="Arial" w:hAnsi="Arial" w:cs="Arial"/>
                <w:sz w:val="20"/>
                <w:szCs w:val="20"/>
              </w:rPr>
              <w:t>- 0,868</w:t>
            </w:r>
          </w:p>
          <w:p w14:paraId="20A29BDA" w14:textId="0D4C1845"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- 1,5040</w:t>
            </w:r>
            <w:r>
              <w:rPr>
                <w:rFonts w:ascii="Arial" w:hAnsi="Arial" w:cs="Arial"/>
                <w:sz w:val="20"/>
                <w:szCs w:val="20"/>
              </w:rPr>
              <w:t>]</w:t>
            </w:r>
          </w:p>
          <w:p w14:paraId="67C29811" w14:textId="1E7243E0" w:rsidR="00270BD1" w:rsidRPr="002D0203" w:rsidRDefault="00270BD1" w:rsidP="004F2583">
            <w:pPr>
              <w:jc w:val="center"/>
              <w:rPr>
                <w:rFonts w:ascii="Arial" w:hAnsi="Arial" w:cs="Arial"/>
                <w:sz w:val="20"/>
                <w:szCs w:val="20"/>
              </w:rPr>
            </w:pPr>
          </w:p>
        </w:tc>
        <w:tc>
          <w:tcPr>
            <w:tcW w:w="1547" w:type="dxa"/>
            <w:vAlign w:val="center"/>
          </w:tcPr>
          <w:p w14:paraId="2DAADD08" w14:textId="77777777" w:rsidR="004F2583" w:rsidRDefault="00270BD1" w:rsidP="004F2583">
            <w:pPr>
              <w:jc w:val="center"/>
              <w:rPr>
                <w:rFonts w:ascii="Arial" w:hAnsi="Arial" w:cs="Arial"/>
                <w:sz w:val="20"/>
                <w:szCs w:val="20"/>
              </w:rPr>
            </w:pPr>
            <w:r>
              <w:rPr>
                <w:rFonts w:ascii="Arial" w:hAnsi="Arial" w:cs="Arial"/>
                <w:sz w:val="20"/>
                <w:szCs w:val="20"/>
              </w:rPr>
              <w:t>- 0,835</w:t>
            </w:r>
          </w:p>
          <w:p w14:paraId="67B30CFA" w14:textId="64D1FBE6" w:rsidR="00270BD1" w:rsidRDefault="007D51A9" w:rsidP="004F2583">
            <w:pPr>
              <w:jc w:val="center"/>
              <w:rPr>
                <w:rFonts w:ascii="Arial" w:hAnsi="Arial" w:cs="Arial"/>
                <w:sz w:val="20"/>
                <w:szCs w:val="20"/>
              </w:rPr>
            </w:pPr>
            <w:r>
              <w:rPr>
                <w:rFonts w:ascii="Arial" w:hAnsi="Arial" w:cs="Arial"/>
                <w:sz w:val="20"/>
                <w:szCs w:val="20"/>
              </w:rPr>
              <w:t>[</w:t>
            </w:r>
            <w:r w:rsidR="00B97079">
              <w:rPr>
                <w:rFonts w:ascii="Arial" w:hAnsi="Arial" w:cs="Arial"/>
                <w:sz w:val="20"/>
                <w:szCs w:val="20"/>
              </w:rPr>
              <w:t>- 1,4201</w:t>
            </w:r>
            <w:r>
              <w:rPr>
                <w:rFonts w:ascii="Arial" w:hAnsi="Arial" w:cs="Arial"/>
                <w:sz w:val="20"/>
                <w:szCs w:val="20"/>
              </w:rPr>
              <w:t>]</w:t>
            </w:r>
          </w:p>
          <w:p w14:paraId="2447BFF6" w14:textId="49FF7186" w:rsidR="00270BD1" w:rsidRPr="002D0203" w:rsidRDefault="00270BD1" w:rsidP="004F2583">
            <w:pPr>
              <w:jc w:val="center"/>
              <w:rPr>
                <w:rFonts w:ascii="Arial" w:hAnsi="Arial" w:cs="Arial"/>
                <w:sz w:val="20"/>
                <w:szCs w:val="20"/>
              </w:rPr>
            </w:pPr>
          </w:p>
        </w:tc>
      </w:tr>
      <w:tr w:rsidR="004F2583" w14:paraId="69E09812" w14:textId="77777777" w:rsidTr="004F2583">
        <w:tc>
          <w:tcPr>
            <w:tcW w:w="1520" w:type="dxa"/>
            <w:vAlign w:val="center"/>
          </w:tcPr>
          <w:p w14:paraId="39A27DC5" w14:textId="67F705FD"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An</w:t>
            </w:r>
          </w:p>
        </w:tc>
        <w:tc>
          <w:tcPr>
            <w:tcW w:w="1355" w:type="dxa"/>
            <w:vAlign w:val="center"/>
          </w:tcPr>
          <w:p w14:paraId="44B0BCB7" w14:textId="77777777" w:rsidR="004F2583" w:rsidRDefault="004F2583" w:rsidP="004F2583">
            <w:pPr>
              <w:jc w:val="center"/>
              <w:rPr>
                <w:rFonts w:ascii="Arial" w:hAnsi="Arial" w:cs="Arial"/>
                <w:sz w:val="20"/>
                <w:szCs w:val="20"/>
              </w:rPr>
            </w:pPr>
            <w:r>
              <w:rPr>
                <w:rFonts w:ascii="Arial" w:hAnsi="Arial" w:cs="Arial"/>
                <w:sz w:val="20"/>
                <w:szCs w:val="20"/>
              </w:rPr>
              <w:t>0,044</w:t>
            </w:r>
          </w:p>
          <w:p w14:paraId="75684CEE" w14:textId="79CEF288" w:rsidR="004F2583"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2,9760</w:t>
            </w:r>
            <w:r>
              <w:rPr>
                <w:rFonts w:ascii="Arial" w:hAnsi="Arial" w:cs="Arial"/>
                <w:sz w:val="20"/>
                <w:szCs w:val="20"/>
              </w:rPr>
              <w:t>]</w:t>
            </w:r>
            <w:r w:rsidR="00842826">
              <w:rPr>
                <w:rFonts w:ascii="Arial" w:hAnsi="Arial" w:cs="Arial"/>
                <w:sz w:val="20"/>
                <w:szCs w:val="20"/>
                <w:vertAlign w:val="superscript"/>
              </w:rPr>
              <w:t>(</w:t>
            </w:r>
            <w:r w:rsidR="00194250" w:rsidRPr="00194250">
              <w:rPr>
                <w:rFonts w:ascii="Arial" w:hAnsi="Arial" w:cs="Arial"/>
                <w:sz w:val="20"/>
                <w:szCs w:val="20"/>
                <w:vertAlign w:val="superscript"/>
              </w:rPr>
              <w:t>a</w:t>
            </w:r>
            <w:r w:rsidR="00842826">
              <w:rPr>
                <w:rFonts w:ascii="Arial" w:hAnsi="Arial" w:cs="Arial"/>
                <w:sz w:val="20"/>
                <w:szCs w:val="20"/>
                <w:vertAlign w:val="superscript"/>
              </w:rPr>
              <w:t>)</w:t>
            </w:r>
          </w:p>
          <w:p w14:paraId="29BFB96C" w14:textId="04EC398B" w:rsidR="004F2583" w:rsidRPr="002D0203" w:rsidRDefault="004F2583" w:rsidP="004F2583">
            <w:pPr>
              <w:jc w:val="center"/>
              <w:rPr>
                <w:rFonts w:ascii="Arial" w:hAnsi="Arial" w:cs="Arial"/>
                <w:sz w:val="20"/>
                <w:szCs w:val="20"/>
              </w:rPr>
            </w:pPr>
          </w:p>
        </w:tc>
        <w:tc>
          <w:tcPr>
            <w:tcW w:w="1355" w:type="dxa"/>
            <w:vAlign w:val="center"/>
          </w:tcPr>
          <w:p w14:paraId="2F4FDF04" w14:textId="77777777" w:rsidR="004F2583" w:rsidRDefault="00270BD1" w:rsidP="004F2583">
            <w:pPr>
              <w:jc w:val="center"/>
              <w:rPr>
                <w:rFonts w:ascii="Arial" w:hAnsi="Arial" w:cs="Arial"/>
                <w:sz w:val="20"/>
                <w:szCs w:val="20"/>
              </w:rPr>
            </w:pPr>
            <w:r>
              <w:rPr>
                <w:rFonts w:ascii="Arial" w:hAnsi="Arial" w:cs="Arial"/>
                <w:sz w:val="20"/>
                <w:szCs w:val="20"/>
              </w:rPr>
              <w:t>0,045</w:t>
            </w:r>
          </w:p>
          <w:p w14:paraId="4AF74757" w14:textId="67097F72"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2,9623</w:t>
            </w:r>
            <w:r>
              <w:rPr>
                <w:rFonts w:ascii="Arial" w:hAnsi="Arial" w:cs="Arial"/>
                <w:sz w:val="20"/>
                <w:szCs w:val="20"/>
              </w:rPr>
              <w:t>]</w:t>
            </w:r>
            <w:r w:rsidR="00842826">
              <w:rPr>
                <w:rFonts w:ascii="Arial" w:hAnsi="Arial" w:cs="Arial"/>
                <w:sz w:val="20"/>
                <w:szCs w:val="20"/>
                <w:vertAlign w:val="superscript"/>
              </w:rPr>
              <w:t>(</w:t>
            </w:r>
            <w:r w:rsidR="00842826" w:rsidRPr="00194250">
              <w:rPr>
                <w:rFonts w:ascii="Arial" w:hAnsi="Arial" w:cs="Arial"/>
                <w:sz w:val="20"/>
                <w:szCs w:val="20"/>
                <w:vertAlign w:val="superscript"/>
              </w:rPr>
              <w:t>a</w:t>
            </w:r>
            <w:r w:rsidR="00842826">
              <w:rPr>
                <w:rFonts w:ascii="Arial" w:hAnsi="Arial" w:cs="Arial"/>
                <w:sz w:val="20"/>
                <w:szCs w:val="20"/>
                <w:vertAlign w:val="superscript"/>
              </w:rPr>
              <w:t>)</w:t>
            </w:r>
          </w:p>
          <w:p w14:paraId="3B392952" w14:textId="2C015A70" w:rsidR="00270BD1" w:rsidRPr="002D0203" w:rsidRDefault="00270BD1" w:rsidP="004F2583">
            <w:pPr>
              <w:jc w:val="center"/>
              <w:rPr>
                <w:rFonts w:ascii="Arial" w:hAnsi="Arial" w:cs="Arial"/>
                <w:sz w:val="20"/>
                <w:szCs w:val="20"/>
              </w:rPr>
            </w:pPr>
          </w:p>
        </w:tc>
        <w:tc>
          <w:tcPr>
            <w:tcW w:w="1355" w:type="dxa"/>
            <w:vAlign w:val="center"/>
          </w:tcPr>
          <w:p w14:paraId="4FE9A605" w14:textId="77777777" w:rsidR="004F2583" w:rsidRDefault="00270BD1" w:rsidP="004F2583">
            <w:pPr>
              <w:jc w:val="center"/>
              <w:rPr>
                <w:rFonts w:ascii="Arial" w:hAnsi="Arial" w:cs="Arial"/>
                <w:sz w:val="20"/>
                <w:szCs w:val="20"/>
              </w:rPr>
            </w:pPr>
            <w:r>
              <w:rPr>
                <w:rFonts w:ascii="Arial" w:hAnsi="Arial" w:cs="Arial"/>
                <w:sz w:val="20"/>
                <w:szCs w:val="20"/>
              </w:rPr>
              <w:t>0,042</w:t>
            </w:r>
          </w:p>
          <w:p w14:paraId="3058395B" w14:textId="3D443531"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2,7033</w:t>
            </w:r>
            <w:r>
              <w:rPr>
                <w:rFonts w:ascii="Arial" w:hAnsi="Arial" w:cs="Arial"/>
                <w:sz w:val="20"/>
                <w:szCs w:val="20"/>
              </w:rPr>
              <w:t>]</w:t>
            </w:r>
            <w:r w:rsidR="00842826">
              <w:rPr>
                <w:rFonts w:ascii="Arial" w:hAnsi="Arial" w:cs="Arial"/>
                <w:sz w:val="20"/>
                <w:szCs w:val="20"/>
                <w:vertAlign w:val="superscript"/>
              </w:rPr>
              <w:t>(</w:t>
            </w:r>
            <w:r w:rsidR="00194250" w:rsidRPr="00194250">
              <w:rPr>
                <w:rFonts w:ascii="Arial" w:hAnsi="Arial" w:cs="Arial"/>
                <w:sz w:val="20"/>
                <w:szCs w:val="20"/>
                <w:vertAlign w:val="superscript"/>
              </w:rPr>
              <w:t>a</w:t>
            </w:r>
            <w:r w:rsidR="00842826">
              <w:rPr>
                <w:rFonts w:ascii="Arial" w:hAnsi="Arial" w:cs="Arial"/>
                <w:sz w:val="20"/>
                <w:szCs w:val="20"/>
                <w:vertAlign w:val="superscript"/>
              </w:rPr>
              <w:t>)</w:t>
            </w:r>
          </w:p>
          <w:p w14:paraId="1AF2F466" w14:textId="65956BDF" w:rsidR="00270BD1" w:rsidRPr="002D0203" w:rsidRDefault="00270BD1" w:rsidP="004F2583">
            <w:pPr>
              <w:jc w:val="center"/>
              <w:rPr>
                <w:rFonts w:ascii="Arial" w:hAnsi="Arial" w:cs="Arial"/>
                <w:sz w:val="20"/>
                <w:szCs w:val="20"/>
              </w:rPr>
            </w:pPr>
          </w:p>
        </w:tc>
        <w:tc>
          <w:tcPr>
            <w:tcW w:w="1356" w:type="dxa"/>
            <w:vAlign w:val="center"/>
          </w:tcPr>
          <w:p w14:paraId="0C5F3C4B" w14:textId="77777777" w:rsidR="004F2583" w:rsidRDefault="00270BD1" w:rsidP="004F2583">
            <w:pPr>
              <w:jc w:val="center"/>
              <w:rPr>
                <w:rFonts w:ascii="Arial" w:hAnsi="Arial" w:cs="Arial"/>
                <w:sz w:val="20"/>
                <w:szCs w:val="20"/>
              </w:rPr>
            </w:pPr>
            <w:r>
              <w:rPr>
                <w:rFonts w:ascii="Arial" w:hAnsi="Arial" w:cs="Arial"/>
                <w:sz w:val="20"/>
                <w:szCs w:val="20"/>
              </w:rPr>
              <w:t>0,045</w:t>
            </w:r>
          </w:p>
          <w:p w14:paraId="18544819" w14:textId="56309D26"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2,9594</w:t>
            </w:r>
            <w:r>
              <w:rPr>
                <w:rFonts w:ascii="Arial" w:hAnsi="Arial" w:cs="Arial"/>
                <w:sz w:val="20"/>
                <w:szCs w:val="20"/>
              </w:rPr>
              <w:t>]</w:t>
            </w:r>
            <w:r w:rsidR="00842826">
              <w:rPr>
                <w:rFonts w:ascii="Arial" w:hAnsi="Arial" w:cs="Arial"/>
                <w:sz w:val="20"/>
                <w:szCs w:val="20"/>
                <w:vertAlign w:val="superscript"/>
              </w:rPr>
              <w:t>(</w:t>
            </w:r>
            <w:r w:rsidR="00194250" w:rsidRPr="00194250">
              <w:rPr>
                <w:rFonts w:ascii="Arial" w:hAnsi="Arial" w:cs="Arial"/>
                <w:sz w:val="20"/>
                <w:szCs w:val="20"/>
                <w:vertAlign w:val="superscript"/>
              </w:rPr>
              <w:t>a</w:t>
            </w:r>
            <w:r w:rsidR="00842826">
              <w:rPr>
                <w:rFonts w:ascii="Arial" w:hAnsi="Arial" w:cs="Arial"/>
                <w:sz w:val="20"/>
                <w:szCs w:val="20"/>
                <w:vertAlign w:val="superscript"/>
              </w:rPr>
              <w:t>)</w:t>
            </w:r>
          </w:p>
          <w:p w14:paraId="7596BD13" w14:textId="06C6EBE4" w:rsidR="00270BD1" w:rsidRPr="002D0203" w:rsidRDefault="00270BD1" w:rsidP="004F2583">
            <w:pPr>
              <w:jc w:val="center"/>
              <w:rPr>
                <w:rFonts w:ascii="Arial" w:hAnsi="Arial" w:cs="Arial"/>
                <w:sz w:val="20"/>
                <w:szCs w:val="20"/>
              </w:rPr>
            </w:pPr>
          </w:p>
        </w:tc>
        <w:tc>
          <w:tcPr>
            <w:tcW w:w="1547" w:type="dxa"/>
            <w:vAlign w:val="center"/>
          </w:tcPr>
          <w:p w14:paraId="78014BC8" w14:textId="77777777" w:rsidR="004F2583" w:rsidRDefault="00270BD1" w:rsidP="004F2583">
            <w:pPr>
              <w:jc w:val="center"/>
              <w:rPr>
                <w:rFonts w:ascii="Arial" w:hAnsi="Arial" w:cs="Arial"/>
                <w:sz w:val="20"/>
                <w:szCs w:val="20"/>
              </w:rPr>
            </w:pPr>
            <w:r>
              <w:rPr>
                <w:rFonts w:ascii="Arial" w:hAnsi="Arial" w:cs="Arial"/>
                <w:sz w:val="20"/>
                <w:szCs w:val="20"/>
              </w:rPr>
              <w:t>0,047</w:t>
            </w:r>
          </w:p>
          <w:p w14:paraId="7A46AE4E" w14:textId="38685DEA" w:rsidR="00270BD1" w:rsidRDefault="007D51A9" w:rsidP="004F2583">
            <w:pPr>
              <w:jc w:val="center"/>
              <w:rPr>
                <w:rFonts w:ascii="Arial" w:hAnsi="Arial" w:cs="Arial"/>
                <w:sz w:val="20"/>
                <w:szCs w:val="20"/>
              </w:rPr>
            </w:pPr>
            <w:r>
              <w:rPr>
                <w:rFonts w:ascii="Arial" w:hAnsi="Arial" w:cs="Arial"/>
                <w:sz w:val="20"/>
                <w:szCs w:val="20"/>
              </w:rPr>
              <w:t>[</w:t>
            </w:r>
            <w:r w:rsidR="00B97079">
              <w:rPr>
                <w:rFonts w:ascii="Arial" w:hAnsi="Arial" w:cs="Arial"/>
                <w:sz w:val="20"/>
                <w:szCs w:val="20"/>
              </w:rPr>
              <w:t>2,9199</w:t>
            </w:r>
            <w:r>
              <w:rPr>
                <w:rFonts w:ascii="Arial" w:hAnsi="Arial" w:cs="Arial"/>
                <w:sz w:val="20"/>
                <w:szCs w:val="20"/>
              </w:rPr>
              <w:t>]</w:t>
            </w:r>
            <w:r w:rsidR="00842826">
              <w:rPr>
                <w:rFonts w:ascii="Arial" w:hAnsi="Arial" w:cs="Arial"/>
                <w:sz w:val="20"/>
                <w:szCs w:val="20"/>
                <w:vertAlign w:val="superscript"/>
              </w:rPr>
              <w:t>(</w:t>
            </w:r>
            <w:r w:rsidR="00194250" w:rsidRPr="00194250">
              <w:rPr>
                <w:rFonts w:ascii="Arial" w:hAnsi="Arial" w:cs="Arial"/>
                <w:sz w:val="20"/>
                <w:szCs w:val="20"/>
                <w:vertAlign w:val="superscript"/>
              </w:rPr>
              <w:t>a</w:t>
            </w:r>
            <w:r w:rsidR="00842826">
              <w:rPr>
                <w:rFonts w:ascii="Arial" w:hAnsi="Arial" w:cs="Arial"/>
                <w:sz w:val="20"/>
                <w:szCs w:val="20"/>
                <w:vertAlign w:val="superscript"/>
              </w:rPr>
              <w:t>)</w:t>
            </w:r>
          </w:p>
          <w:p w14:paraId="32E081CE" w14:textId="0A33A4D1" w:rsidR="00270BD1" w:rsidRPr="002D0203" w:rsidRDefault="00270BD1" w:rsidP="004F2583">
            <w:pPr>
              <w:jc w:val="center"/>
              <w:rPr>
                <w:rFonts w:ascii="Arial" w:hAnsi="Arial" w:cs="Arial"/>
                <w:sz w:val="20"/>
                <w:szCs w:val="20"/>
              </w:rPr>
            </w:pPr>
          </w:p>
        </w:tc>
      </w:tr>
      <w:tr w:rsidR="004F2583" w14:paraId="3BCFB6F5" w14:textId="77777777" w:rsidTr="004F2583">
        <w:tc>
          <w:tcPr>
            <w:tcW w:w="1520" w:type="dxa"/>
            <w:vAlign w:val="center"/>
          </w:tcPr>
          <w:p w14:paraId="461220E3" w14:textId="42D99CC6"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MI</w:t>
            </w:r>
          </w:p>
        </w:tc>
        <w:tc>
          <w:tcPr>
            <w:tcW w:w="1355" w:type="dxa"/>
            <w:vAlign w:val="center"/>
          </w:tcPr>
          <w:p w14:paraId="64ACB4BE" w14:textId="56C92710" w:rsidR="004F2583" w:rsidRDefault="004F2583" w:rsidP="004F2583">
            <w:pPr>
              <w:jc w:val="center"/>
              <w:rPr>
                <w:rFonts w:ascii="Arial" w:hAnsi="Arial" w:cs="Arial"/>
                <w:sz w:val="20"/>
                <w:szCs w:val="20"/>
              </w:rPr>
            </w:pPr>
            <w:r>
              <w:rPr>
                <w:rFonts w:ascii="Arial" w:hAnsi="Arial" w:cs="Arial"/>
                <w:sz w:val="20"/>
                <w:szCs w:val="20"/>
              </w:rPr>
              <w:t>- 0,008</w:t>
            </w:r>
          </w:p>
          <w:p w14:paraId="150D5C2B" w14:textId="2B9582B5" w:rsidR="004F2583"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- 0,9298</w:t>
            </w:r>
            <w:r>
              <w:rPr>
                <w:rFonts w:ascii="Arial" w:hAnsi="Arial" w:cs="Arial"/>
                <w:sz w:val="20"/>
                <w:szCs w:val="20"/>
              </w:rPr>
              <w:t>]</w:t>
            </w:r>
          </w:p>
          <w:p w14:paraId="40847B4F" w14:textId="3D5C3295" w:rsidR="004F2583" w:rsidRPr="002D0203" w:rsidRDefault="004F2583" w:rsidP="004F2583">
            <w:pPr>
              <w:jc w:val="center"/>
              <w:rPr>
                <w:rFonts w:ascii="Arial" w:hAnsi="Arial" w:cs="Arial"/>
                <w:sz w:val="20"/>
                <w:szCs w:val="20"/>
              </w:rPr>
            </w:pPr>
          </w:p>
        </w:tc>
        <w:tc>
          <w:tcPr>
            <w:tcW w:w="1355" w:type="dxa"/>
            <w:vAlign w:val="center"/>
          </w:tcPr>
          <w:p w14:paraId="72C1B805" w14:textId="77777777" w:rsidR="004F2583" w:rsidRDefault="00270BD1" w:rsidP="004F2583">
            <w:pPr>
              <w:jc w:val="center"/>
              <w:rPr>
                <w:rFonts w:ascii="Arial" w:hAnsi="Arial" w:cs="Arial"/>
                <w:sz w:val="20"/>
                <w:szCs w:val="20"/>
              </w:rPr>
            </w:pPr>
            <w:r>
              <w:rPr>
                <w:rFonts w:ascii="Arial" w:hAnsi="Arial" w:cs="Arial"/>
                <w:sz w:val="20"/>
                <w:szCs w:val="20"/>
              </w:rPr>
              <w:t>- 0,008</w:t>
            </w:r>
          </w:p>
          <w:p w14:paraId="3C47F3C5" w14:textId="7A7B73BF"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- 0,8640</w:t>
            </w:r>
            <w:r>
              <w:rPr>
                <w:rFonts w:ascii="Arial" w:hAnsi="Arial" w:cs="Arial"/>
                <w:sz w:val="20"/>
                <w:szCs w:val="20"/>
              </w:rPr>
              <w:t>]</w:t>
            </w:r>
          </w:p>
          <w:p w14:paraId="357B4D2F" w14:textId="23C79FBE" w:rsidR="00270BD1" w:rsidRPr="002D0203" w:rsidRDefault="00270BD1" w:rsidP="004F2583">
            <w:pPr>
              <w:jc w:val="center"/>
              <w:rPr>
                <w:rFonts w:ascii="Arial" w:hAnsi="Arial" w:cs="Arial"/>
                <w:sz w:val="20"/>
                <w:szCs w:val="20"/>
              </w:rPr>
            </w:pPr>
          </w:p>
        </w:tc>
        <w:tc>
          <w:tcPr>
            <w:tcW w:w="1355" w:type="dxa"/>
            <w:vAlign w:val="center"/>
          </w:tcPr>
          <w:p w14:paraId="6B5E1606" w14:textId="77777777" w:rsidR="004F2583" w:rsidRDefault="00270BD1" w:rsidP="004F2583">
            <w:pPr>
              <w:jc w:val="center"/>
              <w:rPr>
                <w:rFonts w:ascii="Arial" w:hAnsi="Arial" w:cs="Arial"/>
                <w:sz w:val="20"/>
                <w:szCs w:val="20"/>
              </w:rPr>
            </w:pPr>
            <w:r>
              <w:rPr>
                <w:rFonts w:ascii="Arial" w:hAnsi="Arial" w:cs="Arial"/>
                <w:sz w:val="20"/>
                <w:szCs w:val="20"/>
              </w:rPr>
              <w:t>- 0,008</w:t>
            </w:r>
          </w:p>
          <w:p w14:paraId="5063D0A6" w14:textId="430F5C42"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- 0,8776</w:t>
            </w:r>
            <w:r>
              <w:rPr>
                <w:rFonts w:ascii="Arial" w:hAnsi="Arial" w:cs="Arial"/>
                <w:sz w:val="20"/>
                <w:szCs w:val="20"/>
              </w:rPr>
              <w:t>]</w:t>
            </w:r>
          </w:p>
          <w:p w14:paraId="564CC27D" w14:textId="170C5D4B" w:rsidR="00270BD1" w:rsidRPr="002D0203" w:rsidRDefault="00270BD1" w:rsidP="004F2583">
            <w:pPr>
              <w:jc w:val="center"/>
              <w:rPr>
                <w:rFonts w:ascii="Arial" w:hAnsi="Arial" w:cs="Arial"/>
                <w:sz w:val="20"/>
                <w:szCs w:val="20"/>
              </w:rPr>
            </w:pPr>
          </w:p>
        </w:tc>
        <w:tc>
          <w:tcPr>
            <w:tcW w:w="1356" w:type="dxa"/>
            <w:vAlign w:val="center"/>
          </w:tcPr>
          <w:p w14:paraId="7D9E9B47" w14:textId="77777777" w:rsidR="004F2583" w:rsidRDefault="00270BD1" w:rsidP="004F2583">
            <w:pPr>
              <w:jc w:val="center"/>
              <w:rPr>
                <w:rFonts w:ascii="Arial" w:hAnsi="Arial" w:cs="Arial"/>
                <w:sz w:val="20"/>
                <w:szCs w:val="20"/>
              </w:rPr>
            </w:pPr>
            <w:r>
              <w:rPr>
                <w:rFonts w:ascii="Arial" w:hAnsi="Arial" w:cs="Arial"/>
                <w:sz w:val="20"/>
                <w:szCs w:val="20"/>
              </w:rPr>
              <w:t>- 0,008</w:t>
            </w:r>
          </w:p>
          <w:p w14:paraId="0AF848AC" w14:textId="77076B1C" w:rsidR="00270BD1" w:rsidRDefault="007D51A9" w:rsidP="004F2583">
            <w:pPr>
              <w:jc w:val="center"/>
              <w:rPr>
                <w:rFonts w:ascii="Arial" w:hAnsi="Arial" w:cs="Arial"/>
                <w:sz w:val="20"/>
                <w:szCs w:val="20"/>
              </w:rPr>
            </w:pPr>
            <w:r>
              <w:rPr>
                <w:rFonts w:ascii="Arial" w:hAnsi="Arial" w:cs="Arial"/>
                <w:sz w:val="20"/>
                <w:szCs w:val="20"/>
              </w:rPr>
              <w:t>[</w:t>
            </w:r>
            <w:r w:rsidR="00B7143B">
              <w:rPr>
                <w:rFonts w:ascii="Arial" w:hAnsi="Arial" w:cs="Arial"/>
                <w:sz w:val="20"/>
                <w:szCs w:val="20"/>
              </w:rPr>
              <w:t>- 0,8947</w:t>
            </w:r>
            <w:r>
              <w:rPr>
                <w:rFonts w:ascii="Arial" w:hAnsi="Arial" w:cs="Arial"/>
                <w:sz w:val="20"/>
                <w:szCs w:val="20"/>
              </w:rPr>
              <w:t>]</w:t>
            </w:r>
          </w:p>
          <w:p w14:paraId="59CE1B03" w14:textId="2A86A86E" w:rsidR="00270BD1" w:rsidRPr="002D0203" w:rsidRDefault="00270BD1" w:rsidP="004F2583">
            <w:pPr>
              <w:jc w:val="center"/>
              <w:rPr>
                <w:rFonts w:ascii="Arial" w:hAnsi="Arial" w:cs="Arial"/>
                <w:sz w:val="20"/>
                <w:szCs w:val="20"/>
              </w:rPr>
            </w:pPr>
          </w:p>
        </w:tc>
        <w:tc>
          <w:tcPr>
            <w:tcW w:w="1547" w:type="dxa"/>
            <w:vAlign w:val="center"/>
          </w:tcPr>
          <w:p w14:paraId="40F4E99B" w14:textId="77777777" w:rsidR="004F2583" w:rsidRDefault="00270BD1" w:rsidP="004F2583">
            <w:pPr>
              <w:jc w:val="center"/>
              <w:rPr>
                <w:rFonts w:ascii="Arial" w:hAnsi="Arial" w:cs="Arial"/>
                <w:sz w:val="20"/>
                <w:szCs w:val="20"/>
              </w:rPr>
            </w:pPr>
            <w:r>
              <w:rPr>
                <w:rFonts w:ascii="Arial" w:hAnsi="Arial" w:cs="Arial"/>
                <w:sz w:val="20"/>
                <w:szCs w:val="20"/>
              </w:rPr>
              <w:t>- 0,009</w:t>
            </w:r>
          </w:p>
          <w:p w14:paraId="0126E8E3" w14:textId="3EB2C2FD" w:rsidR="00270BD1" w:rsidRDefault="007D51A9" w:rsidP="004F2583">
            <w:pPr>
              <w:jc w:val="center"/>
              <w:rPr>
                <w:rFonts w:ascii="Arial" w:hAnsi="Arial" w:cs="Arial"/>
                <w:sz w:val="20"/>
                <w:szCs w:val="20"/>
              </w:rPr>
            </w:pPr>
            <w:r>
              <w:rPr>
                <w:rFonts w:ascii="Arial" w:hAnsi="Arial" w:cs="Arial"/>
                <w:sz w:val="20"/>
                <w:szCs w:val="20"/>
              </w:rPr>
              <w:t>[</w:t>
            </w:r>
            <w:r w:rsidR="00B97079">
              <w:rPr>
                <w:rFonts w:ascii="Arial" w:hAnsi="Arial" w:cs="Arial"/>
                <w:sz w:val="20"/>
                <w:szCs w:val="20"/>
              </w:rPr>
              <w:t>- 1,0075</w:t>
            </w:r>
            <w:r>
              <w:rPr>
                <w:rFonts w:ascii="Arial" w:hAnsi="Arial" w:cs="Arial"/>
                <w:sz w:val="20"/>
                <w:szCs w:val="20"/>
              </w:rPr>
              <w:t>]</w:t>
            </w:r>
          </w:p>
          <w:p w14:paraId="52EF279E" w14:textId="6A8811FC" w:rsidR="00270BD1" w:rsidRPr="002D0203" w:rsidRDefault="00270BD1" w:rsidP="004F2583">
            <w:pPr>
              <w:jc w:val="center"/>
              <w:rPr>
                <w:rFonts w:ascii="Arial" w:hAnsi="Arial" w:cs="Arial"/>
                <w:sz w:val="20"/>
                <w:szCs w:val="20"/>
              </w:rPr>
            </w:pPr>
          </w:p>
        </w:tc>
      </w:tr>
      <w:tr w:rsidR="004F2583" w14:paraId="7B683A94" w14:textId="6F9BFD6E" w:rsidTr="004F2583">
        <w:tc>
          <w:tcPr>
            <w:tcW w:w="1520" w:type="dxa"/>
            <w:vAlign w:val="center"/>
          </w:tcPr>
          <w:p w14:paraId="4800AC1F" w14:textId="49CB61E6" w:rsidR="004F2583" w:rsidRPr="002D0203" w:rsidRDefault="004F2583" w:rsidP="004F2583">
            <w:pPr>
              <w:spacing w:line="360" w:lineRule="auto"/>
              <w:jc w:val="both"/>
              <w:rPr>
                <w:rFonts w:ascii="Arial" w:hAnsi="Arial" w:cs="Arial"/>
                <w:sz w:val="20"/>
                <w:szCs w:val="20"/>
              </w:rPr>
            </w:pPr>
            <w:r w:rsidRPr="002D0203">
              <w:rPr>
                <w:rFonts w:ascii="Arial" w:hAnsi="Arial" w:cs="Arial"/>
                <w:sz w:val="20"/>
                <w:szCs w:val="20"/>
              </w:rPr>
              <w:t>Hom</w:t>
            </w:r>
          </w:p>
        </w:tc>
        <w:tc>
          <w:tcPr>
            <w:tcW w:w="1355" w:type="dxa"/>
            <w:vAlign w:val="center"/>
          </w:tcPr>
          <w:p w14:paraId="618EFF4A" w14:textId="77777777" w:rsidR="004F2583" w:rsidRDefault="004F2583" w:rsidP="004F2583">
            <w:pPr>
              <w:jc w:val="center"/>
              <w:rPr>
                <w:rFonts w:ascii="Arial" w:hAnsi="Arial" w:cs="Arial"/>
                <w:sz w:val="20"/>
                <w:szCs w:val="20"/>
              </w:rPr>
            </w:pPr>
            <w:r>
              <w:rPr>
                <w:rFonts w:ascii="Arial" w:hAnsi="Arial" w:cs="Arial"/>
                <w:sz w:val="20"/>
                <w:szCs w:val="20"/>
              </w:rPr>
              <w:t>0,002</w:t>
            </w:r>
          </w:p>
          <w:p w14:paraId="1A7D2B76" w14:textId="767A07EB" w:rsidR="004F2583" w:rsidRDefault="007D51A9" w:rsidP="004F2583">
            <w:pPr>
              <w:jc w:val="center"/>
              <w:rPr>
                <w:rFonts w:ascii="Arial" w:hAnsi="Arial" w:cs="Arial"/>
                <w:sz w:val="20"/>
                <w:szCs w:val="20"/>
              </w:rPr>
            </w:pPr>
            <w:r>
              <w:rPr>
                <w:rFonts w:ascii="Arial" w:hAnsi="Arial" w:cs="Arial"/>
                <w:sz w:val="20"/>
                <w:szCs w:val="20"/>
              </w:rPr>
              <w:t>[</w:t>
            </w:r>
            <w:r w:rsidR="004F2583">
              <w:rPr>
                <w:rFonts w:ascii="Arial" w:hAnsi="Arial" w:cs="Arial"/>
                <w:sz w:val="20"/>
                <w:szCs w:val="20"/>
              </w:rPr>
              <w:t>0,</w:t>
            </w:r>
            <w:r w:rsidR="00392209">
              <w:rPr>
                <w:rFonts w:ascii="Arial" w:hAnsi="Arial" w:cs="Arial"/>
                <w:sz w:val="20"/>
                <w:szCs w:val="20"/>
              </w:rPr>
              <w:t>6041</w:t>
            </w:r>
            <w:r>
              <w:rPr>
                <w:rFonts w:ascii="Arial" w:hAnsi="Arial" w:cs="Arial"/>
                <w:sz w:val="20"/>
                <w:szCs w:val="20"/>
              </w:rPr>
              <w:t>]</w:t>
            </w:r>
          </w:p>
          <w:p w14:paraId="5CD7F794" w14:textId="235BF971" w:rsidR="004F2583" w:rsidRPr="002D0203" w:rsidRDefault="004F2583" w:rsidP="004F2583">
            <w:pPr>
              <w:jc w:val="center"/>
              <w:rPr>
                <w:rFonts w:ascii="Arial" w:hAnsi="Arial" w:cs="Arial"/>
                <w:sz w:val="20"/>
                <w:szCs w:val="20"/>
              </w:rPr>
            </w:pPr>
          </w:p>
        </w:tc>
        <w:tc>
          <w:tcPr>
            <w:tcW w:w="1355" w:type="dxa"/>
            <w:vAlign w:val="center"/>
          </w:tcPr>
          <w:p w14:paraId="753FB364" w14:textId="77777777" w:rsidR="004F2583" w:rsidRDefault="00270BD1" w:rsidP="004F2583">
            <w:pPr>
              <w:jc w:val="center"/>
              <w:rPr>
                <w:rFonts w:ascii="Arial" w:hAnsi="Arial" w:cs="Arial"/>
                <w:sz w:val="20"/>
                <w:szCs w:val="20"/>
              </w:rPr>
            </w:pPr>
            <w:r>
              <w:rPr>
                <w:rFonts w:ascii="Arial" w:hAnsi="Arial" w:cs="Arial"/>
                <w:sz w:val="20"/>
                <w:szCs w:val="20"/>
              </w:rPr>
              <w:t>0,003</w:t>
            </w:r>
          </w:p>
          <w:p w14:paraId="127086AC" w14:textId="7B0D44A9" w:rsidR="00270BD1" w:rsidRDefault="007D51A9" w:rsidP="00392209">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0,7323</w:t>
            </w:r>
            <w:r>
              <w:rPr>
                <w:rFonts w:ascii="Arial" w:hAnsi="Arial" w:cs="Arial"/>
                <w:sz w:val="20"/>
                <w:szCs w:val="20"/>
              </w:rPr>
              <w:t>]</w:t>
            </w:r>
          </w:p>
          <w:p w14:paraId="6441CC32" w14:textId="2048584F" w:rsidR="00270BD1" w:rsidRPr="002D0203" w:rsidRDefault="00270BD1" w:rsidP="004F2583">
            <w:pPr>
              <w:jc w:val="center"/>
              <w:rPr>
                <w:rFonts w:ascii="Arial" w:hAnsi="Arial" w:cs="Arial"/>
                <w:sz w:val="20"/>
                <w:szCs w:val="20"/>
              </w:rPr>
            </w:pPr>
          </w:p>
        </w:tc>
        <w:tc>
          <w:tcPr>
            <w:tcW w:w="1355" w:type="dxa"/>
            <w:vAlign w:val="center"/>
          </w:tcPr>
          <w:p w14:paraId="6D0773BB" w14:textId="77777777" w:rsidR="004F2583" w:rsidRDefault="00270BD1" w:rsidP="004F2583">
            <w:pPr>
              <w:jc w:val="center"/>
              <w:rPr>
                <w:rFonts w:ascii="Arial" w:hAnsi="Arial" w:cs="Arial"/>
                <w:sz w:val="20"/>
                <w:szCs w:val="20"/>
              </w:rPr>
            </w:pPr>
            <w:r>
              <w:rPr>
                <w:rFonts w:ascii="Arial" w:hAnsi="Arial" w:cs="Arial"/>
                <w:sz w:val="20"/>
                <w:szCs w:val="20"/>
              </w:rPr>
              <w:t>0,002</w:t>
            </w:r>
          </w:p>
          <w:p w14:paraId="7E6FFDF2" w14:textId="4DCC6139" w:rsidR="00270BD1" w:rsidRDefault="007D51A9" w:rsidP="004F2583">
            <w:pPr>
              <w:jc w:val="center"/>
              <w:rPr>
                <w:rFonts w:ascii="Arial" w:hAnsi="Arial" w:cs="Arial"/>
                <w:sz w:val="20"/>
                <w:szCs w:val="20"/>
              </w:rPr>
            </w:pPr>
            <w:r>
              <w:rPr>
                <w:rFonts w:ascii="Arial" w:hAnsi="Arial" w:cs="Arial"/>
                <w:sz w:val="20"/>
                <w:szCs w:val="20"/>
              </w:rPr>
              <w:t>[</w:t>
            </w:r>
            <w:r w:rsidR="00392209">
              <w:rPr>
                <w:rFonts w:ascii="Arial" w:hAnsi="Arial" w:cs="Arial"/>
                <w:sz w:val="20"/>
                <w:szCs w:val="20"/>
              </w:rPr>
              <w:t>0,6133</w:t>
            </w:r>
            <w:r>
              <w:rPr>
                <w:rFonts w:ascii="Arial" w:hAnsi="Arial" w:cs="Arial"/>
                <w:sz w:val="20"/>
                <w:szCs w:val="20"/>
              </w:rPr>
              <w:t>]</w:t>
            </w:r>
          </w:p>
          <w:p w14:paraId="4B43756D" w14:textId="54D80621" w:rsidR="00270BD1" w:rsidRPr="002D0203" w:rsidRDefault="00270BD1" w:rsidP="004F2583">
            <w:pPr>
              <w:jc w:val="center"/>
              <w:rPr>
                <w:rFonts w:ascii="Arial" w:hAnsi="Arial" w:cs="Arial"/>
                <w:sz w:val="20"/>
                <w:szCs w:val="20"/>
              </w:rPr>
            </w:pPr>
          </w:p>
        </w:tc>
        <w:tc>
          <w:tcPr>
            <w:tcW w:w="1356" w:type="dxa"/>
            <w:vAlign w:val="center"/>
          </w:tcPr>
          <w:p w14:paraId="781E7D46" w14:textId="77777777" w:rsidR="004F2583" w:rsidRDefault="00270BD1" w:rsidP="004F2583">
            <w:pPr>
              <w:jc w:val="center"/>
              <w:rPr>
                <w:rFonts w:ascii="Arial" w:hAnsi="Arial" w:cs="Arial"/>
                <w:sz w:val="20"/>
                <w:szCs w:val="20"/>
              </w:rPr>
            </w:pPr>
            <w:r>
              <w:rPr>
                <w:rFonts w:ascii="Arial" w:hAnsi="Arial" w:cs="Arial"/>
                <w:sz w:val="20"/>
                <w:szCs w:val="20"/>
              </w:rPr>
              <w:t>0,002</w:t>
            </w:r>
          </w:p>
          <w:p w14:paraId="6E89CBEF" w14:textId="753EFBC3" w:rsidR="00270BD1" w:rsidRDefault="007D51A9" w:rsidP="004F2583">
            <w:pPr>
              <w:jc w:val="center"/>
              <w:rPr>
                <w:rFonts w:ascii="Arial" w:hAnsi="Arial" w:cs="Arial"/>
                <w:sz w:val="20"/>
                <w:szCs w:val="20"/>
              </w:rPr>
            </w:pPr>
            <w:r>
              <w:rPr>
                <w:rFonts w:ascii="Arial" w:hAnsi="Arial" w:cs="Arial"/>
                <w:sz w:val="20"/>
                <w:szCs w:val="20"/>
              </w:rPr>
              <w:t>[</w:t>
            </w:r>
            <w:r w:rsidR="00B7143B">
              <w:rPr>
                <w:rFonts w:ascii="Arial" w:hAnsi="Arial" w:cs="Arial"/>
                <w:sz w:val="20"/>
                <w:szCs w:val="20"/>
              </w:rPr>
              <w:t>0,6469</w:t>
            </w:r>
            <w:r>
              <w:rPr>
                <w:rFonts w:ascii="Arial" w:hAnsi="Arial" w:cs="Arial"/>
                <w:sz w:val="20"/>
                <w:szCs w:val="20"/>
              </w:rPr>
              <w:t>]</w:t>
            </w:r>
          </w:p>
          <w:p w14:paraId="75FCB993" w14:textId="607E7635" w:rsidR="00270BD1" w:rsidRPr="002D0203" w:rsidRDefault="00270BD1" w:rsidP="004F2583">
            <w:pPr>
              <w:jc w:val="center"/>
              <w:rPr>
                <w:rFonts w:ascii="Arial" w:hAnsi="Arial" w:cs="Arial"/>
                <w:sz w:val="20"/>
                <w:szCs w:val="20"/>
              </w:rPr>
            </w:pPr>
          </w:p>
        </w:tc>
        <w:tc>
          <w:tcPr>
            <w:tcW w:w="1547" w:type="dxa"/>
            <w:vAlign w:val="center"/>
          </w:tcPr>
          <w:p w14:paraId="4325B76E" w14:textId="77777777" w:rsidR="004F2583" w:rsidRDefault="00270BD1" w:rsidP="004F2583">
            <w:pPr>
              <w:jc w:val="center"/>
              <w:rPr>
                <w:rFonts w:ascii="Arial" w:hAnsi="Arial" w:cs="Arial"/>
                <w:sz w:val="20"/>
                <w:szCs w:val="20"/>
              </w:rPr>
            </w:pPr>
            <w:r>
              <w:rPr>
                <w:rFonts w:ascii="Arial" w:hAnsi="Arial" w:cs="Arial"/>
                <w:sz w:val="20"/>
                <w:szCs w:val="20"/>
              </w:rPr>
              <w:t>0,002</w:t>
            </w:r>
          </w:p>
          <w:p w14:paraId="0E6FF299" w14:textId="116396BF" w:rsidR="00270BD1" w:rsidRDefault="007D51A9" w:rsidP="004F2583">
            <w:pPr>
              <w:jc w:val="center"/>
              <w:rPr>
                <w:rFonts w:ascii="Arial" w:hAnsi="Arial" w:cs="Arial"/>
                <w:sz w:val="20"/>
                <w:szCs w:val="20"/>
              </w:rPr>
            </w:pPr>
            <w:r>
              <w:rPr>
                <w:rFonts w:ascii="Arial" w:hAnsi="Arial" w:cs="Arial"/>
                <w:sz w:val="20"/>
                <w:szCs w:val="20"/>
              </w:rPr>
              <w:t>[</w:t>
            </w:r>
            <w:r w:rsidR="00270BD1">
              <w:rPr>
                <w:rFonts w:ascii="Arial" w:hAnsi="Arial" w:cs="Arial"/>
                <w:sz w:val="20"/>
                <w:szCs w:val="20"/>
              </w:rPr>
              <w:t>0,</w:t>
            </w:r>
            <w:r w:rsidR="00B97079">
              <w:rPr>
                <w:rFonts w:ascii="Arial" w:hAnsi="Arial" w:cs="Arial"/>
                <w:sz w:val="20"/>
                <w:szCs w:val="20"/>
              </w:rPr>
              <w:t>6417</w:t>
            </w:r>
            <w:r>
              <w:rPr>
                <w:rFonts w:ascii="Arial" w:hAnsi="Arial" w:cs="Arial"/>
                <w:sz w:val="20"/>
                <w:szCs w:val="20"/>
              </w:rPr>
              <w:t>]</w:t>
            </w:r>
          </w:p>
          <w:p w14:paraId="4E566696" w14:textId="20483D9A" w:rsidR="00270BD1" w:rsidRPr="002D0203" w:rsidRDefault="00270BD1" w:rsidP="004F2583">
            <w:pPr>
              <w:jc w:val="center"/>
              <w:rPr>
                <w:rFonts w:ascii="Arial" w:hAnsi="Arial" w:cs="Arial"/>
                <w:sz w:val="20"/>
                <w:szCs w:val="20"/>
              </w:rPr>
            </w:pPr>
          </w:p>
        </w:tc>
      </w:tr>
      <w:tr w:rsidR="004F2583" w14:paraId="2F771051" w14:textId="77777777" w:rsidTr="004F2583">
        <w:tc>
          <w:tcPr>
            <w:tcW w:w="1520" w:type="dxa"/>
            <w:vAlign w:val="center"/>
          </w:tcPr>
          <w:p w14:paraId="03CF1802" w14:textId="52831AD8" w:rsidR="004F2583" w:rsidRPr="002D0203" w:rsidRDefault="004F2583" w:rsidP="004F2583">
            <w:pPr>
              <w:spacing w:line="360" w:lineRule="auto"/>
              <w:jc w:val="both"/>
              <w:rPr>
                <w:rFonts w:ascii="Arial" w:hAnsi="Arial" w:cs="Arial"/>
                <w:sz w:val="20"/>
                <w:szCs w:val="20"/>
              </w:rPr>
            </w:pPr>
            <w:r>
              <w:rPr>
                <w:rFonts w:ascii="Arial" w:hAnsi="Arial" w:cs="Arial"/>
                <w:sz w:val="20"/>
                <w:szCs w:val="20"/>
              </w:rPr>
              <w:t>DF – C</w:t>
            </w:r>
          </w:p>
        </w:tc>
        <w:tc>
          <w:tcPr>
            <w:tcW w:w="1355" w:type="dxa"/>
            <w:vAlign w:val="center"/>
          </w:tcPr>
          <w:p w14:paraId="013F7208" w14:textId="77777777" w:rsidR="004F2583" w:rsidRDefault="004F2583" w:rsidP="004F2583">
            <w:pPr>
              <w:jc w:val="center"/>
              <w:rPr>
                <w:rFonts w:ascii="Arial" w:hAnsi="Arial" w:cs="Arial"/>
                <w:sz w:val="20"/>
                <w:szCs w:val="20"/>
              </w:rPr>
            </w:pPr>
            <w:r>
              <w:rPr>
                <w:rFonts w:ascii="Arial" w:hAnsi="Arial" w:cs="Arial"/>
                <w:sz w:val="20"/>
                <w:szCs w:val="20"/>
              </w:rPr>
              <w:t>0,163</w:t>
            </w:r>
          </w:p>
          <w:p w14:paraId="3AD8B0DC" w14:textId="15DAAD85" w:rsidR="004F2583" w:rsidRDefault="004F2583" w:rsidP="004F2583">
            <w:pPr>
              <w:jc w:val="center"/>
              <w:rPr>
                <w:rFonts w:ascii="Arial" w:hAnsi="Arial" w:cs="Arial"/>
                <w:sz w:val="20"/>
                <w:szCs w:val="20"/>
              </w:rPr>
            </w:pPr>
          </w:p>
        </w:tc>
        <w:tc>
          <w:tcPr>
            <w:tcW w:w="1355" w:type="dxa"/>
            <w:vAlign w:val="center"/>
          </w:tcPr>
          <w:p w14:paraId="2EFDB493" w14:textId="77777777" w:rsidR="004F2583" w:rsidRDefault="00270BD1" w:rsidP="004F2583">
            <w:pPr>
              <w:jc w:val="center"/>
              <w:rPr>
                <w:rFonts w:ascii="Arial" w:hAnsi="Arial" w:cs="Arial"/>
                <w:sz w:val="20"/>
                <w:szCs w:val="20"/>
              </w:rPr>
            </w:pPr>
            <w:r>
              <w:rPr>
                <w:rFonts w:ascii="Arial" w:hAnsi="Arial" w:cs="Arial"/>
                <w:sz w:val="20"/>
                <w:szCs w:val="20"/>
              </w:rPr>
              <w:t>0,186</w:t>
            </w:r>
          </w:p>
          <w:p w14:paraId="2605C13D" w14:textId="2A8AEEF3" w:rsidR="00270BD1" w:rsidRPr="002D0203" w:rsidRDefault="00270BD1" w:rsidP="004F2583">
            <w:pPr>
              <w:jc w:val="center"/>
              <w:rPr>
                <w:rFonts w:ascii="Arial" w:hAnsi="Arial" w:cs="Arial"/>
                <w:sz w:val="20"/>
                <w:szCs w:val="20"/>
              </w:rPr>
            </w:pPr>
          </w:p>
        </w:tc>
        <w:tc>
          <w:tcPr>
            <w:tcW w:w="1355" w:type="dxa"/>
            <w:vAlign w:val="center"/>
          </w:tcPr>
          <w:p w14:paraId="7611CABE" w14:textId="77777777" w:rsidR="004F2583" w:rsidRDefault="00270BD1" w:rsidP="004F2583">
            <w:pPr>
              <w:jc w:val="center"/>
              <w:rPr>
                <w:rFonts w:ascii="Arial" w:hAnsi="Arial" w:cs="Arial"/>
                <w:sz w:val="20"/>
                <w:szCs w:val="20"/>
              </w:rPr>
            </w:pPr>
            <w:r>
              <w:rPr>
                <w:rFonts w:ascii="Arial" w:hAnsi="Arial" w:cs="Arial"/>
                <w:sz w:val="20"/>
                <w:szCs w:val="20"/>
              </w:rPr>
              <w:t>0,198</w:t>
            </w:r>
          </w:p>
          <w:p w14:paraId="45D3086B" w14:textId="34B09A07" w:rsidR="00270BD1" w:rsidRPr="002D0203" w:rsidRDefault="00270BD1" w:rsidP="004F2583">
            <w:pPr>
              <w:jc w:val="center"/>
              <w:rPr>
                <w:rFonts w:ascii="Arial" w:hAnsi="Arial" w:cs="Arial"/>
                <w:sz w:val="20"/>
                <w:szCs w:val="20"/>
              </w:rPr>
            </w:pPr>
          </w:p>
        </w:tc>
        <w:tc>
          <w:tcPr>
            <w:tcW w:w="1356" w:type="dxa"/>
            <w:vAlign w:val="center"/>
          </w:tcPr>
          <w:p w14:paraId="6A48D086" w14:textId="77777777" w:rsidR="004F2583" w:rsidRDefault="00270BD1" w:rsidP="004F2583">
            <w:pPr>
              <w:jc w:val="center"/>
              <w:rPr>
                <w:rFonts w:ascii="Arial" w:hAnsi="Arial" w:cs="Arial"/>
                <w:sz w:val="20"/>
                <w:szCs w:val="20"/>
              </w:rPr>
            </w:pPr>
            <w:r>
              <w:rPr>
                <w:rFonts w:ascii="Arial" w:hAnsi="Arial" w:cs="Arial"/>
                <w:sz w:val="20"/>
                <w:szCs w:val="20"/>
              </w:rPr>
              <w:t>0,170</w:t>
            </w:r>
          </w:p>
          <w:p w14:paraId="4BF6C0BF" w14:textId="6171EAC7" w:rsidR="00270BD1" w:rsidRPr="002D0203" w:rsidRDefault="00270BD1" w:rsidP="004F2583">
            <w:pPr>
              <w:jc w:val="center"/>
              <w:rPr>
                <w:rFonts w:ascii="Arial" w:hAnsi="Arial" w:cs="Arial"/>
                <w:sz w:val="20"/>
                <w:szCs w:val="20"/>
              </w:rPr>
            </w:pPr>
          </w:p>
        </w:tc>
        <w:tc>
          <w:tcPr>
            <w:tcW w:w="1547" w:type="dxa"/>
            <w:vAlign w:val="center"/>
          </w:tcPr>
          <w:p w14:paraId="70C7ACB9" w14:textId="77777777" w:rsidR="004F2583" w:rsidRDefault="00270BD1" w:rsidP="004F2583">
            <w:pPr>
              <w:jc w:val="center"/>
              <w:rPr>
                <w:rFonts w:ascii="Arial" w:hAnsi="Arial" w:cs="Arial"/>
                <w:sz w:val="20"/>
                <w:szCs w:val="20"/>
              </w:rPr>
            </w:pPr>
            <w:r>
              <w:rPr>
                <w:rFonts w:ascii="Arial" w:hAnsi="Arial" w:cs="Arial"/>
                <w:sz w:val="20"/>
                <w:szCs w:val="20"/>
              </w:rPr>
              <w:t>0,172</w:t>
            </w:r>
          </w:p>
          <w:p w14:paraId="544D2AFD" w14:textId="4EAD7E00" w:rsidR="00270BD1" w:rsidRPr="002D0203" w:rsidRDefault="00270BD1" w:rsidP="004F2583">
            <w:pPr>
              <w:jc w:val="center"/>
              <w:rPr>
                <w:rFonts w:ascii="Arial" w:hAnsi="Arial" w:cs="Arial"/>
                <w:sz w:val="20"/>
                <w:szCs w:val="20"/>
              </w:rPr>
            </w:pPr>
          </w:p>
        </w:tc>
      </w:tr>
      <w:tr w:rsidR="004F2583" w14:paraId="7E186C85" w14:textId="77777777" w:rsidTr="004F2583">
        <w:tc>
          <w:tcPr>
            <w:tcW w:w="1520" w:type="dxa"/>
            <w:vAlign w:val="center"/>
          </w:tcPr>
          <w:p w14:paraId="75E84A3A" w14:textId="6331DEE0" w:rsidR="004F2583" w:rsidRPr="002D0203" w:rsidRDefault="004F2583" w:rsidP="004F2583">
            <w:pPr>
              <w:spacing w:line="360" w:lineRule="auto"/>
              <w:jc w:val="both"/>
              <w:rPr>
                <w:rFonts w:ascii="Arial" w:hAnsi="Arial" w:cs="Arial"/>
                <w:sz w:val="20"/>
                <w:szCs w:val="20"/>
              </w:rPr>
            </w:pPr>
            <w:r>
              <w:rPr>
                <w:rFonts w:ascii="Arial" w:hAnsi="Arial" w:cs="Arial"/>
                <w:sz w:val="20"/>
                <w:szCs w:val="20"/>
              </w:rPr>
              <w:t>GO – C</w:t>
            </w:r>
          </w:p>
        </w:tc>
        <w:tc>
          <w:tcPr>
            <w:tcW w:w="1355" w:type="dxa"/>
            <w:vAlign w:val="center"/>
          </w:tcPr>
          <w:p w14:paraId="2E430958" w14:textId="77777777" w:rsidR="004F2583" w:rsidRDefault="004F2583" w:rsidP="004F2583">
            <w:pPr>
              <w:jc w:val="center"/>
              <w:rPr>
                <w:rFonts w:ascii="Arial" w:hAnsi="Arial" w:cs="Arial"/>
                <w:sz w:val="20"/>
                <w:szCs w:val="20"/>
              </w:rPr>
            </w:pPr>
            <w:r>
              <w:rPr>
                <w:rFonts w:ascii="Arial" w:hAnsi="Arial" w:cs="Arial"/>
                <w:sz w:val="20"/>
                <w:szCs w:val="20"/>
              </w:rPr>
              <w:t>- 0,128</w:t>
            </w:r>
          </w:p>
          <w:p w14:paraId="6B74845C" w14:textId="6A5A88E8" w:rsidR="004F2583" w:rsidRDefault="004F2583" w:rsidP="004F2583">
            <w:pPr>
              <w:jc w:val="center"/>
              <w:rPr>
                <w:rFonts w:ascii="Arial" w:hAnsi="Arial" w:cs="Arial"/>
                <w:sz w:val="20"/>
                <w:szCs w:val="20"/>
              </w:rPr>
            </w:pPr>
          </w:p>
        </w:tc>
        <w:tc>
          <w:tcPr>
            <w:tcW w:w="1355" w:type="dxa"/>
            <w:vAlign w:val="center"/>
          </w:tcPr>
          <w:p w14:paraId="4EBDB29D" w14:textId="77777777" w:rsidR="004F2583" w:rsidRDefault="00270BD1" w:rsidP="004F2583">
            <w:pPr>
              <w:jc w:val="center"/>
              <w:rPr>
                <w:rFonts w:ascii="Arial" w:hAnsi="Arial" w:cs="Arial"/>
                <w:sz w:val="20"/>
                <w:szCs w:val="20"/>
              </w:rPr>
            </w:pPr>
            <w:r>
              <w:rPr>
                <w:rFonts w:ascii="Arial" w:hAnsi="Arial" w:cs="Arial"/>
                <w:sz w:val="20"/>
                <w:szCs w:val="20"/>
              </w:rPr>
              <w:t>- 0,133</w:t>
            </w:r>
          </w:p>
          <w:p w14:paraId="7006AFD6" w14:textId="75E43477" w:rsidR="00270BD1" w:rsidRPr="002D0203" w:rsidRDefault="00270BD1" w:rsidP="004F2583">
            <w:pPr>
              <w:jc w:val="center"/>
              <w:rPr>
                <w:rFonts w:ascii="Arial" w:hAnsi="Arial" w:cs="Arial"/>
                <w:sz w:val="20"/>
                <w:szCs w:val="20"/>
              </w:rPr>
            </w:pPr>
          </w:p>
        </w:tc>
        <w:tc>
          <w:tcPr>
            <w:tcW w:w="1355" w:type="dxa"/>
            <w:vAlign w:val="center"/>
          </w:tcPr>
          <w:p w14:paraId="4036EFC6" w14:textId="77777777" w:rsidR="004F2583" w:rsidRDefault="00270BD1" w:rsidP="004F2583">
            <w:pPr>
              <w:jc w:val="center"/>
              <w:rPr>
                <w:rFonts w:ascii="Arial" w:hAnsi="Arial" w:cs="Arial"/>
                <w:sz w:val="20"/>
                <w:szCs w:val="20"/>
              </w:rPr>
            </w:pPr>
            <w:r>
              <w:rPr>
                <w:rFonts w:ascii="Arial" w:hAnsi="Arial" w:cs="Arial"/>
                <w:sz w:val="20"/>
                <w:szCs w:val="20"/>
              </w:rPr>
              <w:t>- 0,092</w:t>
            </w:r>
          </w:p>
          <w:p w14:paraId="4B948CAB" w14:textId="6408C9EA" w:rsidR="00270BD1" w:rsidRPr="002D0203" w:rsidRDefault="00270BD1" w:rsidP="004F2583">
            <w:pPr>
              <w:jc w:val="center"/>
              <w:rPr>
                <w:rFonts w:ascii="Arial" w:hAnsi="Arial" w:cs="Arial"/>
                <w:sz w:val="20"/>
                <w:szCs w:val="20"/>
              </w:rPr>
            </w:pPr>
          </w:p>
        </w:tc>
        <w:tc>
          <w:tcPr>
            <w:tcW w:w="1356" w:type="dxa"/>
            <w:vAlign w:val="center"/>
          </w:tcPr>
          <w:p w14:paraId="2D0D297E" w14:textId="77777777" w:rsidR="004F2583" w:rsidRDefault="00270BD1" w:rsidP="004F2583">
            <w:pPr>
              <w:jc w:val="center"/>
              <w:rPr>
                <w:rFonts w:ascii="Arial" w:hAnsi="Arial" w:cs="Arial"/>
                <w:sz w:val="20"/>
                <w:szCs w:val="20"/>
              </w:rPr>
            </w:pPr>
            <w:r>
              <w:rPr>
                <w:rFonts w:ascii="Arial" w:hAnsi="Arial" w:cs="Arial"/>
                <w:sz w:val="20"/>
                <w:szCs w:val="20"/>
              </w:rPr>
              <w:t>- 0,132</w:t>
            </w:r>
          </w:p>
          <w:p w14:paraId="1CE55391" w14:textId="6F0EFD02" w:rsidR="00270BD1" w:rsidRPr="002D0203" w:rsidRDefault="00270BD1" w:rsidP="004F2583">
            <w:pPr>
              <w:jc w:val="center"/>
              <w:rPr>
                <w:rFonts w:ascii="Arial" w:hAnsi="Arial" w:cs="Arial"/>
                <w:sz w:val="20"/>
                <w:szCs w:val="20"/>
              </w:rPr>
            </w:pPr>
          </w:p>
        </w:tc>
        <w:tc>
          <w:tcPr>
            <w:tcW w:w="1547" w:type="dxa"/>
            <w:vAlign w:val="center"/>
          </w:tcPr>
          <w:p w14:paraId="23E04E5A" w14:textId="77777777" w:rsidR="004F2583" w:rsidRDefault="00270BD1" w:rsidP="004F2583">
            <w:pPr>
              <w:jc w:val="center"/>
              <w:rPr>
                <w:rFonts w:ascii="Arial" w:hAnsi="Arial" w:cs="Arial"/>
                <w:sz w:val="20"/>
                <w:szCs w:val="20"/>
              </w:rPr>
            </w:pPr>
            <w:r>
              <w:rPr>
                <w:rFonts w:ascii="Arial" w:hAnsi="Arial" w:cs="Arial"/>
                <w:sz w:val="20"/>
                <w:szCs w:val="20"/>
              </w:rPr>
              <w:t>- 0,121</w:t>
            </w:r>
          </w:p>
          <w:p w14:paraId="24C3942E" w14:textId="17AB5B75" w:rsidR="00270BD1" w:rsidRPr="002D0203" w:rsidRDefault="00270BD1" w:rsidP="004F2583">
            <w:pPr>
              <w:jc w:val="center"/>
              <w:rPr>
                <w:rFonts w:ascii="Arial" w:hAnsi="Arial" w:cs="Arial"/>
                <w:sz w:val="20"/>
                <w:szCs w:val="20"/>
              </w:rPr>
            </w:pPr>
          </w:p>
        </w:tc>
      </w:tr>
      <w:tr w:rsidR="004F2583" w14:paraId="2C042EF4" w14:textId="77777777" w:rsidTr="004F2583">
        <w:tc>
          <w:tcPr>
            <w:tcW w:w="1520" w:type="dxa"/>
            <w:vAlign w:val="center"/>
          </w:tcPr>
          <w:p w14:paraId="794906A4" w14:textId="42CB3579" w:rsidR="004F2583" w:rsidRPr="002D0203" w:rsidRDefault="004F2583" w:rsidP="004F2583">
            <w:pPr>
              <w:spacing w:line="360" w:lineRule="auto"/>
              <w:jc w:val="both"/>
              <w:rPr>
                <w:rFonts w:ascii="Arial" w:hAnsi="Arial" w:cs="Arial"/>
                <w:sz w:val="20"/>
                <w:szCs w:val="20"/>
              </w:rPr>
            </w:pPr>
            <w:r>
              <w:rPr>
                <w:rFonts w:ascii="Arial" w:hAnsi="Arial" w:cs="Arial"/>
                <w:sz w:val="20"/>
                <w:szCs w:val="20"/>
              </w:rPr>
              <w:t>MS – C</w:t>
            </w:r>
          </w:p>
        </w:tc>
        <w:tc>
          <w:tcPr>
            <w:tcW w:w="1355" w:type="dxa"/>
            <w:vAlign w:val="center"/>
          </w:tcPr>
          <w:p w14:paraId="76754AA4" w14:textId="77777777" w:rsidR="004F2583" w:rsidRDefault="004F2583" w:rsidP="004F2583">
            <w:pPr>
              <w:jc w:val="center"/>
              <w:rPr>
                <w:rFonts w:ascii="Arial" w:hAnsi="Arial" w:cs="Arial"/>
                <w:sz w:val="20"/>
                <w:szCs w:val="20"/>
              </w:rPr>
            </w:pPr>
            <w:r>
              <w:rPr>
                <w:rFonts w:ascii="Arial" w:hAnsi="Arial" w:cs="Arial"/>
                <w:sz w:val="20"/>
                <w:szCs w:val="20"/>
              </w:rPr>
              <w:t>0,028</w:t>
            </w:r>
          </w:p>
          <w:p w14:paraId="0190C994" w14:textId="33EF17EA" w:rsidR="004F2583" w:rsidRDefault="004F2583" w:rsidP="004F2583">
            <w:pPr>
              <w:jc w:val="center"/>
              <w:rPr>
                <w:rFonts w:ascii="Arial" w:hAnsi="Arial" w:cs="Arial"/>
                <w:sz w:val="20"/>
                <w:szCs w:val="20"/>
              </w:rPr>
            </w:pPr>
          </w:p>
        </w:tc>
        <w:tc>
          <w:tcPr>
            <w:tcW w:w="1355" w:type="dxa"/>
            <w:vAlign w:val="center"/>
          </w:tcPr>
          <w:p w14:paraId="2BA72C83" w14:textId="77777777" w:rsidR="004F2583" w:rsidRDefault="00270BD1" w:rsidP="004F2583">
            <w:pPr>
              <w:jc w:val="center"/>
              <w:rPr>
                <w:rFonts w:ascii="Arial" w:hAnsi="Arial" w:cs="Arial"/>
                <w:sz w:val="20"/>
                <w:szCs w:val="20"/>
              </w:rPr>
            </w:pPr>
            <w:r>
              <w:rPr>
                <w:rFonts w:ascii="Arial" w:hAnsi="Arial" w:cs="Arial"/>
                <w:sz w:val="20"/>
                <w:szCs w:val="20"/>
              </w:rPr>
              <w:t>0,016</w:t>
            </w:r>
          </w:p>
          <w:p w14:paraId="2A91D9F4" w14:textId="0D4F0609" w:rsidR="00270BD1" w:rsidRPr="002D0203" w:rsidRDefault="00270BD1" w:rsidP="004F2583">
            <w:pPr>
              <w:jc w:val="center"/>
              <w:rPr>
                <w:rFonts w:ascii="Arial" w:hAnsi="Arial" w:cs="Arial"/>
                <w:sz w:val="20"/>
                <w:szCs w:val="20"/>
              </w:rPr>
            </w:pPr>
          </w:p>
        </w:tc>
        <w:tc>
          <w:tcPr>
            <w:tcW w:w="1355" w:type="dxa"/>
            <w:vAlign w:val="center"/>
          </w:tcPr>
          <w:p w14:paraId="05917D50" w14:textId="77777777" w:rsidR="004F2583" w:rsidRDefault="00270BD1" w:rsidP="004F2583">
            <w:pPr>
              <w:jc w:val="center"/>
              <w:rPr>
                <w:rFonts w:ascii="Arial" w:hAnsi="Arial" w:cs="Arial"/>
                <w:sz w:val="20"/>
                <w:szCs w:val="20"/>
              </w:rPr>
            </w:pPr>
            <w:r>
              <w:rPr>
                <w:rFonts w:ascii="Arial" w:hAnsi="Arial" w:cs="Arial"/>
                <w:sz w:val="20"/>
                <w:szCs w:val="20"/>
              </w:rPr>
              <w:t>- 0,018</w:t>
            </w:r>
          </w:p>
          <w:p w14:paraId="38633F68" w14:textId="3C0ACE1A" w:rsidR="00270BD1" w:rsidRPr="002D0203" w:rsidRDefault="00270BD1" w:rsidP="004F2583">
            <w:pPr>
              <w:jc w:val="center"/>
              <w:rPr>
                <w:rFonts w:ascii="Arial" w:hAnsi="Arial" w:cs="Arial"/>
                <w:sz w:val="20"/>
                <w:szCs w:val="20"/>
              </w:rPr>
            </w:pPr>
          </w:p>
        </w:tc>
        <w:tc>
          <w:tcPr>
            <w:tcW w:w="1356" w:type="dxa"/>
            <w:vAlign w:val="center"/>
          </w:tcPr>
          <w:p w14:paraId="60245E93" w14:textId="77777777" w:rsidR="004F2583" w:rsidRDefault="00270BD1" w:rsidP="004F2583">
            <w:pPr>
              <w:jc w:val="center"/>
              <w:rPr>
                <w:rFonts w:ascii="Arial" w:hAnsi="Arial" w:cs="Arial"/>
                <w:sz w:val="20"/>
                <w:szCs w:val="20"/>
              </w:rPr>
            </w:pPr>
            <w:r>
              <w:rPr>
                <w:rFonts w:ascii="Arial" w:hAnsi="Arial" w:cs="Arial"/>
                <w:sz w:val="20"/>
                <w:szCs w:val="20"/>
              </w:rPr>
              <w:t>0,003</w:t>
            </w:r>
          </w:p>
          <w:p w14:paraId="52844EFC" w14:textId="738C1591" w:rsidR="00270BD1" w:rsidRPr="002D0203" w:rsidRDefault="00270BD1" w:rsidP="004F2583">
            <w:pPr>
              <w:jc w:val="center"/>
              <w:rPr>
                <w:rFonts w:ascii="Arial" w:hAnsi="Arial" w:cs="Arial"/>
                <w:sz w:val="20"/>
                <w:szCs w:val="20"/>
              </w:rPr>
            </w:pPr>
          </w:p>
        </w:tc>
        <w:tc>
          <w:tcPr>
            <w:tcW w:w="1547" w:type="dxa"/>
            <w:vAlign w:val="center"/>
          </w:tcPr>
          <w:p w14:paraId="71FCDD45" w14:textId="77777777" w:rsidR="004F2583" w:rsidRDefault="00270BD1" w:rsidP="004F2583">
            <w:pPr>
              <w:jc w:val="center"/>
              <w:rPr>
                <w:rFonts w:ascii="Arial" w:hAnsi="Arial" w:cs="Arial"/>
                <w:sz w:val="20"/>
                <w:szCs w:val="20"/>
              </w:rPr>
            </w:pPr>
            <w:r>
              <w:rPr>
                <w:rFonts w:ascii="Arial" w:hAnsi="Arial" w:cs="Arial"/>
                <w:sz w:val="20"/>
                <w:szCs w:val="20"/>
              </w:rPr>
              <w:t>0,020</w:t>
            </w:r>
          </w:p>
          <w:p w14:paraId="38D705BE" w14:textId="0B4BB21E" w:rsidR="00270BD1" w:rsidRPr="002D0203" w:rsidRDefault="00270BD1" w:rsidP="004F2583">
            <w:pPr>
              <w:jc w:val="center"/>
              <w:rPr>
                <w:rFonts w:ascii="Arial" w:hAnsi="Arial" w:cs="Arial"/>
                <w:sz w:val="20"/>
                <w:szCs w:val="20"/>
              </w:rPr>
            </w:pPr>
          </w:p>
        </w:tc>
      </w:tr>
      <w:tr w:rsidR="004F2583" w14:paraId="0BE9F04C" w14:textId="77777777" w:rsidTr="004F2583">
        <w:tc>
          <w:tcPr>
            <w:tcW w:w="1520" w:type="dxa"/>
            <w:vAlign w:val="center"/>
          </w:tcPr>
          <w:p w14:paraId="46D794B4" w14:textId="1344FEE7" w:rsidR="004F2583" w:rsidRPr="002D0203" w:rsidRDefault="004F2583" w:rsidP="004F2583">
            <w:pPr>
              <w:spacing w:line="360" w:lineRule="auto"/>
              <w:jc w:val="both"/>
              <w:rPr>
                <w:rFonts w:ascii="Arial" w:hAnsi="Arial" w:cs="Arial"/>
                <w:sz w:val="20"/>
                <w:szCs w:val="20"/>
              </w:rPr>
            </w:pPr>
            <w:r>
              <w:rPr>
                <w:rFonts w:ascii="Arial" w:hAnsi="Arial" w:cs="Arial"/>
                <w:sz w:val="20"/>
                <w:szCs w:val="20"/>
              </w:rPr>
              <w:t>MT – C</w:t>
            </w:r>
          </w:p>
        </w:tc>
        <w:tc>
          <w:tcPr>
            <w:tcW w:w="1355" w:type="dxa"/>
            <w:vAlign w:val="center"/>
          </w:tcPr>
          <w:p w14:paraId="67FFBFE7" w14:textId="77777777" w:rsidR="004F2583" w:rsidRDefault="004F2583" w:rsidP="004F2583">
            <w:pPr>
              <w:jc w:val="center"/>
              <w:rPr>
                <w:rFonts w:ascii="Arial" w:hAnsi="Arial" w:cs="Arial"/>
                <w:sz w:val="20"/>
                <w:szCs w:val="20"/>
              </w:rPr>
            </w:pPr>
            <w:r>
              <w:rPr>
                <w:rFonts w:ascii="Arial" w:hAnsi="Arial" w:cs="Arial"/>
                <w:sz w:val="20"/>
                <w:szCs w:val="20"/>
              </w:rPr>
              <w:t>- 0,063</w:t>
            </w:r>
          </w:p>
          <w:p w14:paraId="5770A88A" w14:textId="7D8EBD43" w:rsidR="004F2583" w:rsidRDefault="004F2583" w:rsidP="004F2583">
            <w:pPr>
              <w:jc w:val="center"/>
              <w:rPr>
                <w:rFonts w:ascii="Arial" w:hAnsi="Arial" w:cs="Arial"/>
                <w:sz w:val="20"/>
                <w:szCs w:val="20"/>
              </w:rPr>
            </w:pPr>
          </w:p>
        </w:tc>
        <w:tc>
          <w:tcPr>
            <w:tcW w:w="1355" w:type="dxa"/>
            <w:vAlign w:val="center"/>
          </w:tcPr>
          <w:p w14:paraId="48FAA99C" w14:textId="77777777" w:rsidR="004F2583" w:rsidRDefault="00270BD1" w:rsidP="004F2583">
            <w:pPr>
              <w:jc w:val="center"/>
              <w:rPr>
                <w:rFonts w:ascii="Arial" w:hAnsi="Arial" w:cs="Arial"/>
                <w:sz w:val="20"/>
                <w:szCs w:val="20"/>
              </w:rPr>
            </w:pPr>
            <w:r>
              <w:rPr>
                <w:rFonts w:ascii="Arial" w:hAnsi="Arial" w:cs="Arial"/>
                <w:sz w:val="20"/>
                <w:szCs w:val="20"/>
              </w:rPr>
              <w:t>- 0,069</w:t>
            </w:r>
          </w:p>
          <w:p w14:paraId="17FE9D3D" w14:textId="743C50F4" w:rsidR="00270BD1" w:rsidRPr="002D0203" w:rsidRDefault="00270BD1" w:rsidP="004F2583">
            <w:pPr>
              <w:jc w:val="center"/>
              <w:rPr>
                <w:rFonts w:ascii="Arial" w:hAnsi="Arial" w:cs="Arial"/>
                <w:sz w:val="20"/>
                <w:szCs w:val="20"/>
              </w:rPr>
            </w:pPr>
          </w:p>
        </w:tc>
        <w:tc>
          <w:tcPr>
            <w:tcW w:w="1355" w:type="dxa"/>
            <w:vAlign w:val="center"/>
          </w:tcPr>
          <w:p w14:paraId="0DD3DFE7" w14:textId="77777777" w:rsidR="004F2583" w:rsidRDefault="00270BD1" w:rsidP="004F2583">
            <w:pPr>
              <w:jc w:val="center"/>
              <w:rPr>
                <w:rFonts w:ascii="Arial" w:hAnsi="Arial" w:cs="Arial"/>
                <w:sz w:val="20"/>
                <w:szCs w:val="20"/>
              </w:rPr>
            </w:pPr>
            <w:r>
              <w:rPr>
                <w:rFonts w:ascii="Arial" w:hAnsi="Arial" w:cs="Arial"/>
                <w:sz w:val="20"/>
                <w:szCs w:val="20"/>
              </w:rPr>
              <w:t>-0,088</w:t>
            </w:r>
          </w:p>
          <w:p w14:paraId="1DE2DE3E" w14:textId="3DDACC14" w:rsidR="00270BD1" w:rsidRPr="002D0203" w:rsidRDefault="00270BD1" w:rsidP="004F2583">
            <w:pPr>
              <w:jc w:val="center"/>
              <w:rPr>
                <w:rFonts w:ascii="Arial" w:hAnsi="Arial" w:cs="Arial"/>
                <w:sz w:val="20"/>
                <w:szCs w:val="20"/>
              </w:rPr>
            </w:pPr>
          </w:p>
        </w:tc>
        <w:tc>
          <w:tcPr>
            <w:tcW w:w="1356" w:type="dxa"/>
            <w:vAlign w:val="center"/>
          </w:tcPr>
          <w:p w14:paraId="708F37A9" w14:textId="415751E5" w:rsidR="004F2583" w:rsidRDefault="00270BD1" w:rsidP="004F2583">
            <w:pPr>
              <w:jc w:val="center"/>
              <w:rPr>
                <w:rFonts w:ascii="Arial" w:hAnsi="Arial" w:cs="Arial"/>
                <w:sz w:val="20"/>
                <w:szCs w:val="20"/>
              </w:rPr>
            </w:pPr>
            <w:r>
              <w:rPr>
                <w:rFonts w:ascii="Arial" w:hAnsi="Arial" w:cs="Arial"/>
                <w:sz w:val="20"/>
                <w:szCs w:val="20"/>
              </w:rPr>
              <w:t>- 0,066</w:t>
            </w:r>
          </w:p>
          <w:p w14:paraId="2374A307" w14:textId="4446F0C3" w:rsidR="00270BD1" w:rsidRPr="002D0203" w:rsidRDefault="00270BD1" w:rsidP="004F2583">
            <w:pPr>
              <w:jc w:val="center"/>
              <w:rPr>
                <w:rFonts w:ascii="Arial" w:hAnsi="Arial" w:cs="Arial"/>
                <w:sz w:val="20"/>
                <w:szCs w:val="20"/>
              </w:rPr>
            </w:pPr>
          </w:p>
        </w:tc>
        <w:tc>
          <w:tcPr>
            <w:tcW w:w="1547" w:type="dxa"/>
            <w:vAlign w:val="center"/>
          </w:tcPr>
          <w:p w14:paraId="6EC864EA" w14:textId="77777777" w:rsidR="004F2583" w:rsidRDefault="00270BD1" w:rsidP="004F2583">
            <w:pPr>
              <w:jc w:val="center"/>
              <w:rPr>
                <w:rFonts w:ascii="Arial" w:hAnsi="Arial" w:cs="Arial"/>
                <w:sz w:val="20"/>
                <w:szCs w:val="20"/>
              </w:rPr>
            </w:pPr>
            <w:r>
              <w:rPr>
                <w:rFonts w:ascii="Arial" w:hAnsi="Arial" w:cs="Arial"/>
                <w:sz w:val="20"/>
                <w:szCs w:val="20"/>
              </w:rPr>
              <w:t>- 0,071</w:t>
            </w:r>
          </w:p>
          <w:p w14:paraId="4C9F075A" w14:textId="5D28516B" w:rsidR="00270BD1" w:rsidRPr="002D0203" w:rsidRDefault="00270BD1" w:rsidP="004F2583">
            <w:pPr>
              <w:jc w:val="center"/>
              <w:rPr>
                <w:rFonts w:ascii="Arial" w:hAnsi="Arial" w:cs="Arial"/>
                <w:sz w:val="20"/>
                <w:szCs w:val="20"/>
              </w:rPr>
            </w:pPr>
          </w:p>
        </w:tc>
      </w:tr>
      <w:tr w:rsidR="004F2583" w14:paraId="4934B350" w14:textId="77777777" w:rsidTr="004F2583">
        <w:tc>
          <w:tcPr>
            <w:tcW w:w="1520" w:type="dxa"/>
            <w:vAlign w:val="center"/>
          </w:tcPr>
          <w:p w14:paraId="48CE0A54" w14:textId="322DBA92" w:rsidR="004F2583" w:rsidRDefault="004F2583" w:rsidP="004F2583">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p>
        </w:tc>
        <w:tc>
          <w:tcPr>
            <w:tcW w:w="1355" w:type="dxa"/>
            <w:vAlign w:val="center"/>
          </w:tcPr>
          <w:p w14:paraId="77D17D85" w14:textId="00ED329E" w:rsidR="004F2583" w:rsidRDefault="004F2583" w:rsidP="004F2583">
            <w:pPr>
              <w:jc w:val="center"/>
              <w:rPr>
                <w:rFonts w:ascii="Arial" w:hAnsi="Arial" w:cs="Arial"/>
                <w:sz w:val="20"/>
                <w:szCs w:val="20"/>
              </w:rPr>
            </w:pPr>
            <w:r>
              <w:rPr>
                <w:rFonts w:ascii="Arial" w:hAnsi="Arial" w:cs="Arial"/>
                <w:sz w:val="20"/>
                <w:szCs w:val="20"/>
              </w:rPr>
              <w:t>0,218</w:t>
            </w:r>
          </w:p>
          <w:p w14:paraId="236F064B" w14:textId="33EF20FE" w:rsidR="004F2583" w:rsidRDefault="004F2583" w:rsidP="004F2583">
            <w:pPr>
              <w:jc w:val="center"/>
              <w:rPr>
                <w:rFonts w:ascii="Arial" w:hAnsi="Arial" w:cs="Arial"/>
                <w:sz w:val="20"/>
                <w:szCs w:val="20"/>
              </w:rPr>
            </w:pPr>
          </w:p>
        </w:tc>
        <w:tc>
          <w:tcPr>
            <w:tcW w:w="1355" w:type="dxa"/>
            <w:vAlign w:val="center"/>
          </w:tcPr>
          <w:p w14:paraId="004C0F22" w14:textId="77777777" w:rsidR="004F2583" w:rsidRDefault="00270BD1" w:rsidP="004F2583">
            <w:pPr>
              <w:jc w:val="center"/>
              <w:rPr>
                <w:rFonts w:ascii="Arial" w:hAnsi="Arial" w:cs="Arial"/>
                <w:sz w:val="20"/>
                <w:szCs w:val="20"/>
              </w:rPr>
            </w:pPr>
            <w:r>
              <w:rPr>
                <w:rFonts w:ascii="Arial" w:hAnsi="Arial" w:cs="Arial"/>
                <w:sz w:val="20"/>
                <w:szCs w:val="20"/>
              </w:rPr>
              <w:t>0,204</w:t>
            </w:r>
          </w:p>
          <w:p w14:paraId="7551338D" w14:textId="5FB00F69" w:rsidR="00270BD1" w:rsidRPr="002D0203" w:rsidRDefault="00270BD1" w:rsidP="004F2583">
            <w:pPr>
              <w:jc w:val="center"/>
              <w:rPr>
                <w:rFonts w:ascii="Arial" w:hAnsi="Arial" w:cs="Arial"/>
                <w:sz w:val="20"/>
                <w:szCs w:val="20"/>
              </w:rPr>
            </w:pPr>
          </w:p>
        </w:tc>
        <w:tc>
          <w:tcPr>
            <w:tcW w:w="1355" w:type="dxa"/>
            <w:vAlign w:val="center"/>
          </w:tcPr>
          <w:p w14:paraId="4B227462" w14:textId="77777777" w:rsidR="004F2583" w:rsidRDefault="00270BD1" w:rsidP="004F2583">
            <w:pPr>
              <w:jc w:val="center"/>
              <w:rPr>
                <w:rFonts w:ascii="Arial" w:hAnsi="Arial" w:cs="Arial"/>
                <w:sz w:val="20"/>
                <w:szCs w:val="20"/>
              </w:rPr>
            </w:pPr>
            <w:r>
              <w:rPr>
                <w:rFonts w:ascii="Arial" w:hAnsi="Arial" w:cs="Arial"/>
                <w:sz w:val="20"/>
                <w:szCs w:val="20"/>
              </w:rPr>
              <w:t>0,207</w:t>
            </w:r>
          </w:p>
          <w:p w14:paraId="47338CED" w14:textId="07C27C2D" w:rsidR="00270BD1" w:rsidRPr="002D0203" w:rsidRDefault="00270BD1" w:rsidP="004F2583">
            <w:pPr>
              <w:jc w:val="center"/>
              <w:rPr>
                <w:rFonts w:ascii="Arial" w:hAnsi="Arial" w:cs="Arial"/>
                <w:sz w:val="20"/>
                <w:szCs w:val="20"/>
              </w:rPr>
            </w:pPr>
          </w:p>
        </w:tc>
        <w:tc>
          <w:tcPr>
            <w:tcW w:w="1356" w:type="dxa"/>
            <w:vAlign w:val="center"/>
          </w:tcPr>
          <w:p w14:paraId="56A14FBA" w14:textId="77777777" w:rsidR="004F2583" w:rsidRDefault="00270BD1" w:rsidP="004F2583">
            <w:pPr>
              <w:jc w:val="center"/>
              <w:rPr>
                <w:rFonts w:ascii="Arial" w:hAnsi="Arial" w:cs="Arial"/>
                <w:sz w:val="20"/>
                <w:szCs w:val="20"/>
              </w:rPr>
            </w:pPr>
            <w:r>
              <w:rPr>
                <w:rFonts w:ascii="Arial" w:hAnsi="Arial" w:cs="Arial"/>
                <w:sz w:val="20"/>
                <w:szCs w:val="20"/>
              </w:rPr>
              <w:t>0,213</w:t>
            </w:r>
          </w:p>
          <w:p w14:paraId="1FB23EBC" w14:textId="2EAA4EE4" w:rsidR="00270BD1" w:rsidRPr="002D0203" w:rsidRDefault="00270BD1" w:rsidP="004F2583">
            <w:pPr>
              <w:jc w:val="center"/>
              <w:rPr>
                <w:rFonts w:ascii="Arial" w:hAnsi="Arial" w:cs="Arial"/>
                <w:sz w:val="20"/>
                <w:szCs w:val="20"/>
              </w:rPr>
            </w:pPr>
          </w:p>
        </w:tc>
        <w:tc>
          <w:tcPr>
            <w:tcW w:w="1547" w:type="dxa"/>
            <w:vAlign w:val="center"/>
          </w:tcPr>
          <w:p w14:paraId="71073250" w14:textId="77777777" w:rsidR="004F2583" w:rsidRDefault="00270BD1" w:rsidP="004F2583">
            <w:pPr>
              <w:jc w:val="center"/>
              <w:rPr>
                <w:rFonts w:ascii="Arial" w:hAnsi="Arial" w:cs="Arial"/>
                <w:sz w:val="20"/>
                <w:szCs w:val="20"/>
              </w:rPr>
            </w:pPr>
            <w:r>
              <w:rPr>
                <w:rFonts w:ascii="Arial" w:hAnsi="Arial" w:cs="Arial"/>
                <w:sz w:val="20"/>
                <w:szCs w:val="20"/>
              </w:rPr>
              <w:t>0,226</w:t>
            </w:r>
          </w:p>
          <w:p w14:paraId="141D7596" w14:textId="0F9C0F64" w:rsidR="00270BD1" w:rsidRPr="002D0203" w:rsidRDefault="00270BD1" w:rsidP="004F2583">
            <w:pPr>
              <w:jc w:val="center"/>
              <w:rPr>
                <w:rFonts w:ascii="Arial" w:hAnsi="Arial" w:cs="Arial"/>
                <w:sz w:val="20"/>
                <w:szCs w:val="20"/>
              </w:rPr>
            </w:pPr>
          </w:p>
        </w:tc>
      </w:tr>
      <w:tr w:rsidR="004F2583" w:rsidRPr="003343E0" w14:paraId="3D6DEBB4" w14:textId="77777777" w:rsidTr="004F2583">
        <w:tc>
          <w:tcPr>
            <w:tcW w:w="1520" w:type="dxa"/>
            <w:vAlign w:val="center"/>
          </w:tcPr>
          <w:p w14:paraId="711C3B50" w14:textId="24E9407E" w:rsidR="004F2583" w:rsidRPr="003343E0" w:rsidRDefault="004F2583" w:rsidP="004F2583">
            <w:pPr>
              <w:spacing w:line="360" w:lineRule="auto"/>
              <w:jc w:val="both"/>
              <w:rPr>
                <w:rFonts w:ascii="Arial" w:hAnsi="Arial" w:cs="Arial"/>
                <w:sz w:val="20"/>
                <w:szCs w:val="20"/>
              </w:rPr>
            </w:pPr>
            <w:r w:rsidRPr="003343E0">
              <w:rPr>
                <w:rFonts w:ascii="Arial" w:hAnsi="Arial" w:cs="Arial"/>
                <w:sz w:val="20"/>
                <w:szCs w:val="20"/>
              </w:rPr>
              <w:t>R</w:t>
            </w:r>
            <w:r w:rsidRPr="003343E0">
              <w:rPr>
                <w:rFonts w:ascii="Arial" w:hAnsi="Arial" w:cs="Arial"/>
                <w:sz w:val="20"/>
                <w:szCs w:val="20"/>
                <w:vertAlign w:val="superscript"/>
              </w:rPr>
              <w:t>2</w:t>
            </w:r>
            <w:r w:rsidRPr="003343E0">
              <w:rPr>
                <w:rFonts w:ascii="Arial" w:hAnsi="Arial" w:cs="Arial"/>
                <w:sz w:val="20"/>
                <w:szCs w:val="20"/>
              </w:rPr>
              <w:t xml:space="preserve"> ajustado</w:t>
            </w:r>
          </w:p>
        </w:tc>
        <w:tc>
          <w:tcPr>
            <w:tcW w:w="1355" w:type="dxa"/>
            <w:vAlign w:val="center"/>
          </w:tcPr>
          <w:p w14:paraId="631C6BF7" w14:textId="6BF8D5F9" w:rsidR="004F2583" w:rsidRPr="003343E0" w:rsidRDefault="004F2583" w:rsidP="004F2583">
            <w:pPr>
              <w:jc w:val="center"/>
              <w:rPr>
                <w:rFonts w:ascii="Arial" w:hAnsi="Arial" w:cs="Arial"/>
                <w:sz w:val="20"/>
                <w:szCs w:val="20"/>
              </w:rPr>
            </w:pPr>
            <w:r w:rsidRPr="003343E0">
              <w:rPr>
                <w:rFonts w:ascii="Arial" w:hAnsi="Arial" w:cs="Arial"/>
                <w:sz w:val="20"/>
                <w:szCs w:val="20"/>
              </w:rPr>
              <w:t>0,131</w:t>
            </w:r>
          </w:p>
        </w:tc>
        <w:tc>
          <w:tcPr>
            <w:tcW w:w="1355" w:type="dxa"/>
            <w:vAlign w:val="center"/>
          </w:tcPr>
          <w:p w14:paraId="5466BEF7" w14:textId="3B102503" w:rsidR="004F2583" w:rsidRPr="003343E0" w:rsidRDefault="00270BD1" w:rsidP="004F2583">
            <w:pPr>
              <w:jc w:val="center"/>
              <w:rPr>
                <w:rFonts w:ascii="Arial" w:hAnsi="Arial" w:cs="Arial"/>
                <w:sz w:val="20"/>
                <w:szCs w:val="20"/>
              </w:rPr>
            </w:pPr>
            <w:r w:rsidRPr="003343E0">
              <w:rPr>
                <w:rFonts w:ascii="Arial" w:hAnsi="Arial" w:cs="Arial"/>
                <w:sz w:val="20"/>
                <w:szCs w:val="20"/>
              </w:rPr>
              <w:t>0,114</w:t>
            </w:r>
          </w:p>
        </w:tc>
        <w:tc>
          <w:tcPr>
            <w:tcW w:w="1355" w:type="dxa"/>
            <w:vAlign w:val="center"/>
          </w:tcPr>
          <w:p w14:paraId="04B8FA94" w14:textId="36C67722" w:rsidR="004F2583" w:rsidRPr="003343E0" w:rsidRDefault="00270BD1" w:rsidP="004F2583">
            <w:pPr>
              <w:jc w:val="center"/>
              <w:rPr>
                <w:rFonts w:ascii="Arial" w:hAnsi="Arial" w:cs="Arial"/>
                <w:sz w:val="20"/>
                <w:szCs w:val="20"/>
              </w:rPr>
            </w:pPr>
            <w:r w:rsidRPr="003343E0">
              <w:rPr>
                <w:rFonts w:ascii="Arial" w:hAnsi="Arial" w:cs="Arial"/>
                <w:sz w:val="20"/>
                <w:szCs w:val="20"/>
              </w:rPr>
              <w:t>0,118</w:t>
            </w:r>
          </w:p>
        </w:tc>
        <w:tc>
          <w:tcPr>
            <w:tcW w:w="1356" w:type="dxa"/>
            <w:vAlign w:val="center"/>
          </w:tcPr>
          <w:p w14:paraId="4771A202" w14:textId="503A510C" w:rsidR="004F2583" w:rsidRPr="003343E0" w:rsidRDefault="00270BD1" w:rsidP="004F2583">
            <w:pPr>
              <w:jc w:val="center"/>
              <w:rPr>
                <w:rFonts w:ascii="Arial" w:hAnsi="Arial" w:cs="Arial"/>
                <w:sz w:val="20"/>
                <w:szCs w:val="20"/>
              </w:rPr>
            </w:pPr>
            <w:r w:rsidRPr="003343E0">
              <w:rPr>
                <w:rFonts w:ascii="Arial" w:hAnsi="Arial" w:cs="Arial"/>
                <w:sz w:val="20"/>
                <w:szCs w:val="20"/>
              </w:rPr>
              <w:t>0,124</w:t>
            </w:r>
          </w:p>
        </w:tc>
        <w:tc>
          <w:tcPr>
            <w:tcW w:w="1547" w:type="dxa"/>
            <w:vAlign w:val="center"/>
          </w:tcPr>
          <w:p w14:paraId="6D6100F0" w14:textId="0D874BFD" w:rsidR="004F2583" w:rsidRPr="003343E0" w:rsidRDefault="00270BD1" w:rsidP="004F2583">
            <w:pPr>
              <w:jc w:val="center"/>
              <w:rPr>
                <w:rFonts w:ascii="Arial" w:hAnsi="Arial" w:cs="Arial"/>
                <w:sz w:val="20"/>
                <w:szCs w:val="20"/>
              </w:rPr>
            </w:pPr>
            <w:r w:rsidRPr="003343E0">
              <w:rPr>
                <w:rFonts w:ascii="Arial" w:hAnsi="Arial" w:cs="Arial"/>
                <w:sz w:val="20"/>
                <w:szCs w:val="20"/>
              </w:rPr>
              <w:t>0,114</w:t>
            </w:r>
          </w:p>
        </w:tc>
      </w:tr>
    </w:tbl>
    <w:p w14:paraId="53CA7673" w14:textId="7D0C1A15" w:rsidR="00842826" w:rsidRPr="00D64A9C" w:rsidRDefault="00842826" w:rsidP="00842826">
      <w:pPr>
        <w:jc w:val="both"/>
        <w:rPr>
          <w:rFonts w:ascii="Arial" w:hAnsi="Arial" w:cs="Arial"/>
          <w:sz w:val="20"/>
          <w:szCs w:val="20"/>
        </w:rPr>
      </w:pPr>
      <w:r w:rsidRPr="00D64A9C">
        <w:rPr>
          <w:rFonts w:ascii="Arial" w:hAnsi="Arial" w:cs="Arial"/>
          <w:b/>
          <w:sz w:val="20"/>
          <w:szCs w:val="20"/>
        </w:rPr>
        <w:t>Fonte:</w:t>
      </w:r>
      <w:r w:rsidRPr="00D64A9C">
        <w:rPr>
          <w:rFonts w:ascii="Arial" w:hAnsi="Arial" w:cs="Arial"/>
          <w:sz w:val="20"/>
          <w:szCs w:val="20"/>
        </w:rPr>
        <w:t xml:space="preserve"> elaboração própria. Dados amostrais anuais (ajustados): 1995 2014. Número de observações: 20 depois dos ajustes. Número de cortes transversais: 4. Total de observações (balanceadas): 80</w:t>
      </w:r>
    </w:p>
    <w:p w14:paraId="2EB697CC" w14:textId="54519BF4" w:rsidR="007D51A9" w:rsidRPr="00D64A9C" w:rsidRDefault="00842826" w:rsidP="00194250">
      <w:pPr>
        <w:jc w:val="both"/>
        <w:rPr>
          <w:rFonts w:ascii="Arial" w:hAnsi="Arial" w:cs="Arial"/>
          <w:sz w:val="20"/>
          <w:szCs w:val="20"/>
        </w:rPr>
      </w:pPr>
      <w:r w:rsidRPr="00D64A9C">
        <w:rPr>
          <w:rFonts w:ascii="Arial" w:hAnsi="Arial" w:cs="Arial"/>
          <w:sz w:val="20"/>
          <w:szCs w:val="20"/>
        </w:rPr>
        <w:t xml:space="preserve"> </w:t>
      </w:r>
      <w:r w:rsidRPr="00D64A9C">
        <w:rPr>
          <w:rFonts w:ascii="Arial" w:hAnsi="Arial" w:cs="Arial"/>
          <w:b/>
          <w:sz w:val="20"/>
          <w:szCs w:val="20"/>
        </w:rPr>
        <w:t>Nota:</w:t>
      </w:r>
      <w:r w:rsidRPr="00D64A9C">
        <w:rPr>
          <w:rFonts w:ascii="Arial" w:hAnsi="Arial" w:cs="Arial"/>
          <w:sz w:val="20"/>
          <w:szCs w:val="20"/>
        </w:rPr>
        <w:t xml:space="preserve"> </w:t>
      </w:r>
      <w:r w:rsidR="007D51A9" w:rsidRPr="00D64A9C">
        <w:rPr>
          <w:rFonts w:ascii="Arial" w:hAnsi="Arial" w:cs="Arial"/>
          <w:sz w:val="20"/>
          <w:szCs w:val="20"/>
        </w:rPr>
        <w:t xml:space="preserve">(a), (b) e (c) indicam que os coeficientes estimados são estatisticamente significantes ou rejeição da hipótese nula ao nível de significância de 1%, 5% e 10%, respectivamente. Os valores em parênteses são as estatísticas </w:t>
      </w:r>
      <w:r w:rsidR="007D51A9" w:rsidRPr="00D64A9C">
        <w:rPr>
          <w:rFonts w:ascii="Arial" w:hAnsi="Arial" w:cs="Arial"/>
          <w:i/>
          <w:sz w:val="20"/>
          <w:szCs w:val="20"/>
        </w:rPr>
        <w:t xml:space="preserve">t </w:t>
      </w:r>
      <w:r w:rsidR="007D51A9" w:rsidRPr="00D64A9C">
        <w:rPr>
          <w:rFonts w:ascii="Arial" w:hAnsi="Arial" w:cs="Arial"/>
          <w:sz w:val="20"/>
          <w:szCs w:val="20"/>
        </w:rPr>
        <w:t>de Student.</w:t>
      </w:r>
    </w:p>
    <w:p w14:paraId="7C77A02E" w14:textId="3AB1D5A6" w:rsidR="00842826" w:rsidRPr="00842826" w:rsidRDefault="00842826" w:rsidP="00842826">
      <w:pPr>
        <w:jc w:val="both"/>
        <w:rPr>
          <w:rFonts w:cstheme="minorHAnsi"/>
          <w:sz w:val="20"/>
          <w:szCs w:val="20"/>
        </w:rPr>
      </w:pPr>
    </w:p>
    <w:p w14:paraId="7A120FBE" w14:textId="77777777" w:rsidR="00842826" w:rsidRDefault="00842826" w:rsidP="002D0203">
      <w:pPr>
        <w:spacing w:line="360" w:lineRule="auto"/>
        <w:jc w:val="both"/>
        <w:rPr>
          <w:rFonts w:ascii="Arial" w:hAnsi="Arial" w:cs="Arial"/>
        </w:rPr>
      </w:pPr>
    </w:p>
    <w:p w14:paraId="695DECA4" w14:textId="602697E7" w:rsidR="000F32B1" w:rsidRDefault="002D7804" w:rsidP="002D0203">
      <w:pPr>
        <w:spacing w:line="360" w:lineRule="auto"/>
        <w:jc w:val="both"/>
        <w:rPr>
          <w:rFonts w:ascii="Arial" w:hAnsi="Arial" w:cs="Arial"/>
        </w:rPr>
      </w:pPr>
      <w:r>
        <w:rPr>
          <w:rFonts w:ascii="Arial" w:hAnsi="Arial" w:cs="Arial"/>
        </w:rPr>
        <w:tab/>
        <w:t xml:space="preserve">A partir da análise da Região Centro-Oeste é possível verificar que o coeficiente do Indicador 1 (Descentralização da renda) é positivo e estatisticamente significativo ao nível de 10%, conforme o Modelo 1. Este </w:t>
      </w:r>
      <w:r>
        <w:rPr>
          <w:rFonts w:ascii="Arial" w:hAnsi="Arial" w:cs="Arial"/>
        </w:rPr>
        <w:lastRenderedPageBreak/>
        <w:t>achado é evidência que a descentralização de renda na região contribui para o crescimento econômico.</w:t>
      </w:r>
      <w:r w:rsidR="000F32B1">
        <w:rPr>
          <w:rFonts w:ascii="Arial" w:hAnsi="Arial" w:cs="Arial"/>
        </w:rPr>
        <w:t xml:space="preserve"> É importante destacar que este fato é consistente com os trabalhos de Akai e Sakata (2002) e a hipótese teórica de Oates (1972).</w:t>
      </w:r>
    </w:p>
    <w:p w14:paraId="439E55C1" w14:textId="358DF955" w:rsidR="00EE6B05" w:rsidRDefault="00EE6B05" w:rsidP="002D0203">
      <w:pPr>
        <w:spacing w:line="360" w:lineRule="auto"/>
        <w:jc w:val="both"/>
        <w:rPr>
          <w:rFonts w:ascii="Arial" w:hAnsi="Arial" w:cs="Arial"/>
        </w:rPr>
      </w:pPr>
      <w:r>
        <w:rPr>
          <w:rFonts w:ascii="Arial" w:hAnsi="Arial" w:cs="Arial"/>
        </w:rPr>
        <w:tab/>
        <w:t>Outro resultado interessante é o coeficiente negativo e estatisticamente significativo ao nível de 10% para o Índice de Gini (G) obtido no Modelo 3, uma evidência de que na região estudada a desconcentração de renda também é um fator que contribui para o crescimento econômico</w:t>
      </w:r>
      <w:r w:rsidR="005D1C16">
        <w:rPr>
          <w:rFonts w:ascii="Arial" w:hAnsi="Arial" w:cs="Arial"/>
        </w:rPr>
        <w:t xml:space="preserve"> e está alinhado aos resultados de Xie, Zou e Davoodi (1999)</w:t>
      </w:r>
      <w:r>
        <w:rPr>
          <w:rFonts w:ascii="Arial" w:hAnsi="Arial" w:cs="Arial"/>
        </w:rPr>
        <w:t>.</w:t>
      </w:r>
    </w:p>
    <w:p w14:paraId="44868DED" w14:textId="27C21F11" w:rsidR="002D0203" w:rsidRDefault="000F32B1" w:rsidP="002D0203">
      <w:pPr>
        <w:spacing w:line="360" w:lineRule="auto"/>
        <w:jc w:val="both"/>
        <w:rPr>
          <w:rFonts w:ascii="Arial" w:hAnsi="Arial" w:cs="Arial"/>
        </w:rPr>
      </w:pPr>
      <w:r>
        <w:rPr>
          <w:rFonts w:ascii="Arial" w:hAnsi="Arial" w:cs="Arial"/>
        </w:rPr>
        <w:tab/>
      </w:r>
      <w:r w:rsidR="002D7804">
        <w:rPr>
          <w:rFonts w:ascii="Arial" w:hAnsi="Arial" w:cs="Arial"/>
        </w:rPr>
        <w:t>Um fato que causa surpresa é</w:t>
      </w:r>
      <w:r>
        <w:rPr>
          <w:rFonts w:ascii="Arial" w:hAnsi="Arial" w:cs="Arial"/>
        </w:rPr>
        <w:t xml:space="preserve"> o coeficiente encontrado para a Taxa de Analfabetismo (An) </w:t>
      </w:r>
      <w:r w:rsidR="00EE6B05">
        <w:rPr>
          <w:rFonts w:ascii="Arial" w:hAnsi="Arial" w:cs="Arial"/>
        </w:rPr>
        <w:t>ser</w:t>
      </w:r>
      <w:r>
        <w:rPr>
          <w:rFonts w:ascii="Arial" w:hAnsi="Arial" w:cs="Arial"/>
        </w:rPr>
        <w:t xml:space="preserve"> positivo e significativo ao nível de 1% para todos os modelos aplicados, contrário à intuição inicial que esperava um coeficiente de valor negativo, uma vez que o aumento nos índices de analfabetismo da população não deveria contribuir positivamente para o crescimento econômico.</w:t>
      </w:r>
      <w:r w:rsidR="005D1C16">
        <w:rPr>
          <w:rFonts w:ascii="Arial" w:hAnsi="Arial" w:cs="Arial"/>
        </w:rPr>
        <w:t xml:space="preserve"> Uma explicação para o sinal encontrado pode ser relacionada à qualidade e confiabilidade dos dados utilizados. Não há garantias de que essa variável é avaliada de forma homogênea em todos os Estados da região estudada e assim, não se mostram uma forma eficiente de mensurar os níveis de educação para fins de avaliar o crescimento econômico.</w:t>
      </w:r>
    </w:p>
    <w:p w14:paraId="20B9B79D" w14:textId="197C271D" w:rsidR="00EE6B05" w:rsidRDefault="00EE6B05" w:rsidP="002D0203">
      <w:pPr>
        <w:spacing w:line="360" w:lineRule="auto"/>
        <w:jc w:val="both"/>
        <w:rPr>
          <w:rFonts w:ascii="Arial" w:hAnsi="Arial" w:cs="Arial"/>
        </w:rPr>
      </w:pPr>
      <w:r>
        <w:rPr>
          <w:rFonts w:ascii="Arial" w:hAnsi="Arial" w:cs="Arial"/>
        </w:rPr>
        <w:tab/>
        <w:t>Além dos resultados já comentados, não houve outros com significância estatística para o modelo com os dados disponíveis para a Região Centro-Oeste, assim, nada se pode concluir em relação a contribuição da Mortalidade Infantil (MI), e da Taxa de Homicídios (Hom) para o crescimento econômico no período avaliado. O mesmo se pode dizer dos indicadores 2, 3 e 4, ou seja, na região e no período analisado a descentralização de despesas e o nível de autonomia de arrecadação não apresentaram efeito significativo para o crescimento econômico.</w:t>
      </w:r>
    </w:p>
    <w:p w14:paraId="4AF54AA4" w14:textId="77777777" w:rsidR="00EE6B05" w:rsidRDefault="00EE6B05">
      <w:pPr>
        <w:rPr>
          <w:rFonts w:ascii="Arial" w:hAnsi="Arial" w:cs="Arial"/>
        </w:rPr>
      </w:pPr>
      <w:r>
        <w:rPr>
          <w:rFonts w:ascii="Arial" w:hAnsi="Arial" w:cs="Arial"/>
        </w:rPr>
        <w:br w:type="page"/>
      </w:r>
    </w:p>
    <w:p w14:paraId="169F9E58" w14:textId="187B5903" w:rsidR="00CE5F6A" w:rsidRPr="00194250" w:rsidRDefault="004E0034" w:rsidP="00CE5F6A">
      <w:pPr>
        <w:jc w:val="both"/>
        <w:rPr>
          <w:rFonts w:ascii="Arial" w:hAnsi="Arial" w:cs="Arial"/>
          <w:sz w:val="20"/>
          <w:szCs w:val="20"/>
        </w:rPr>
      </w:pPr>
      <w:r>
        <w:rPr>
          <w:rFonts w:ascii="Arial" w:hAnsi="Arial" w:cs="Arial"/>
          <w:b/>
        </w:rPr>
        <w:lastRenderedPageBreak/>
        <w:t>Tabela 5</w:t>
      </w:r>
      <w:r w:rsidR="00CE5F6A" w:rsidRPr="003343E0">
        <w:rPr>
          <w:rFonts w:ascii="Arial" w:hAnsi="Arial" w:cs="Arial"/>
          <w:b/>
        </w:rPr>
        <w:t xml:space="preserve"> – </w:t>
      </w:r>
      <w:r w:rsidR="00CE5F6A" w:rsidRPr="003343E0">
        <w:rPr>
          <w:rFonts w:ascii="Arial" w:hAnsi="Arial" w:cs="Arial"/>
        </w:rPr>
        <w:t xml:space="preserve">Resultados econométricos. Modelo de Efeitos Fixos. Região Nordeste. Variável dependente: taxa de variação real do PIB </w:t>
      </w:r>
      <w:r w:rsidR="00CE5F6A" w:rsidRPr="003343E0">
        <w:rPr>
          <w:rFonts w:ascii="Arial" w:hAnsi="Arial" w:cs="Arial"/>
          <w:i/>
        </w:rPr>
        <w:t>per capita</w:t>
      </w:r>
      <w:r w:rsidR="00CE5F6A" w:rsidRPr="003343E0">
        <w:rPr>
          <w:rFonts w:ascii="Arial" w:hAnsi="Arial" w:cs="Arial"/>
        </w:rPr>
        <w:t>.</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355"/>
        <w:gridCol w:w="1355"/>
        <w:gridCol w:w="1355"/>
        <w:gridCol w:w="1356"/>
        <w:gridCol w:w="1547"/>
      </w:tblGrid>
      <w:tr w:rsidR="009D7B59" w14:paraId="3D6B11D7" w14:textId="77777777" w:rsidTr="000F0979">
        <w:trPr>
          <w:trHeight w:val="70"/>
        </w:trPr>
        <w:tc>
          <w:tcPr>
            <w:tcW w:w="1520" w:type="dxa"/>
            <w:tcBorders>
              <w:top w:val="single" w:sz="4" w:space="0" w:color="auto"/>
              <w:bottom w:val="single" w:sz="4" w:space="0" w:color="auto"/>
            </w:tcBorders>
          </w:tcPr>
          <w:p w14:paraId="5CD1CC25" w14:textId="77777777" w:rsidR="009D7B59" w:rsidRPr="002D0203" w:rsidRDefault="009D7B59" w:rsidP="000F0979">
            <w:pPr>
              <w:jc w:val="both"/>
              <w:rPr>
                <w:rFonts w:ascii="Arial" w:hAnsi="Arial" w:cs="Arial"/>
                <w:sz w:val="20"/>
                <w:szCs w:val="20"/>
              </w:rPr>
            </w:pPr>
            <w:r>
              <w:rPr>
                <w:rFonts w:ascii="Arial" w:hAnsi="Arial" w:cs="Arial"/>
                <w:sz w:val="20"/>
                <w:szCs w:val="20"/>
              </w:rPr>
              <w:t>Variável</w:t>
            </w:r>
          </w:p>
        </w:tc>
        <w:tc>
          <w:tcPr>
            <w:tcW w:w="1355" w:type="dxa"/>
            <w:tcBorders>
              <w:top w:val="single" w:sz="4" w:space="0" w:color="auto"/>
              <w:bottom w:val="single" w:sz="4" w:space="0" w:color="auto"/>
            </w:tcBorders>
          </w:tcPr>
          <w:p w14:paraId="77918480" w14:textId="77777777" w:rsidR="009D7B59" w:rsidRPr="002D0203" w:rsidRDefault="009D7B59" w:rsidP="000F0979">
            <w:pPr>
              <w:jc w:val="center"/>
              <w:rPr>
                <w:rFonts w:ascii="Arial" w:hAnsi="Arial" w:cs="Arial"/>
                <w:sz w:val="20"/>
                <w:szCs w:val="20"/>
              </w:rPr>
            </w:pPr>
            <w:r w:rsidRPr="002D0203">
              <w:rPr>
                <w:rFonts w:ascii="Arial" w:hAnsi="Arial" w:cs="Arial"/>
                <w:sz w:val="20"/>
                <w:szCs w:val="20"/>
              </w:rPr>
              <w:t>Modelo 1</w:t>
            </w:r>
          </w:p>
        </w:tc>
        <w:tc>
          <w:tcPr>
            <w:tcW w:w="1355" w:type="dxa"/>
            <w:tcBorders>
              <w:top w:val="single" w:sz="4" w:space="0" w:color="auto"/>
              <w:bottom w:val="single" w:sz="4" w:space="0" w:color="auto"/>
            </w:tcBorders>
          </w:tcPr>
          <w:p w14:paraId="24951345" w14:textId="77777777" w:rsidR="009D7B59" w:rsidRPr="002D0203" w:rsidRDefault="009D7B59" w:rsidP="000F0979">
            <w:pPr>
              <w:jc w:val="center"/>
              <w:rPr>
                <w:rFonts w:ascii="Arial" w:hAnsi="Arial" w:cs="Arial"/>
                <w:sz w:val="20"/>
                <w:szCs w:val="20"/>
              </w:rPr>
            </w:pPr>
            <w:r w:rsidRPr="002D0203">
              <w:rPr>
                <w:rFonts w:ascii="Arial" w:hAnsi="Arial" w:cs="Arial"/>
                <w:sz w:val="20"/>
                <w:szCs w:val="20"/>
              </w:rPr>
              <w:t>Modelo 2</w:t>
            </w:r>
          </w:p>
        </w:tc>
        <w:tc>
          <w:tcPr>
            <w:tcW w:w="1355" w:type="dxa"/>
            <w:tcBorders>
              <w:top w:val="single" w:sz="4" w:space="0" w:color="auto"/>
              <w:bottom w:val="single" w:sz="4" w:space="0" w:color="auto"/>
            </w:tcBorders>
          </w:tcPr>
          <w:p w14:paraId="0610FFC8" w14:textId="77777777" w:rsidR="009D7B59" w:rsidRPr="002D0203" w:rsidRDefault="009D7B59" w:rsidP="000F0979">
            <w:pPr>
              <w:jc w:val="center"/>
              <w:rPr>
                <w:rFonts w:ascii="Arial" w:hAnsi="Arial" w:cs="Arial"/>
                <w:sz w:val="20"/>
                <w:szCs w:val="20"/>
              </w:rPr>
            </w:pPr>
            <w:r w:rsidRPr="002D0203">
              <w:rPr>
                <w:rFonts w:ascii="Arial" w:hAnsi="Arial" w:cs="Arial"/>
                <w:sz w:val="20"/>
                <w:szCs w:val="20"/>
              </w:rPr>
              <w:t>Modelo 3</w:t>
            </w:r>
          </w:p>
        </w:tc>
        <w:tc>
          <w:tcPr>
            <w:tcW w:w="1356" w:type="dxa"/>
            <w:tcBorders>
              <w:top w:val="single" w:sz="4" w:space="0" w:color="auto"/>
              <w:bottom w:val="single" w:sz="4" w:space="0" w:color="auto"/>
            </w:tcBorders>
          </w:tcPr>
          <w:p w14:paraId="55315A98" w14:textId="77777777" w:rsidR="009D7B59" w:rsidRPr="002D0203" w:rsidRDefault="009D7B59" w:rsidP="000F0979">
            <w:pPr>
              <w:jc w:val="center"/>
              <w:rPr>
                <w:rFonts w:ascii="Arial" w:hAnsi="Arial" w:cs="Arial"/>
                <w:sz w:val="20"/>
                <w:szCs w:val="20"/>
              </w:rPr>
            </w:pPr>
            <w:r w:rsidRPr="002D0203">
              <w:rPr>
                <w:rFonts w:ascii="Arial" w:hAnsi="Arial" w:cs="Arial"/>
                <w:sz w:val="20"/>
                <w:szCs w:val="20"/>
              </w:rPr>
              <w:t>Modelo 4</w:t>
            </w:r>
          </w:p>
        </w:tc>
        <w:tc>
          <w:tcPr>
            <w:tcW w:w="1547" w:type="dxa"/>
            <w:tcBorders>
              <w:top w:val="single" w:sz="4" w:space="0" w:color="auto"/>
              <w:bottom w:val="single" w:sz="4" w:space="0" w:color="auto"/>
            </w:tcBorders>
          </w:tcPr>
          <w:p w14:paraId="616D693C" w14:textId="77777777" w:rsidR="009D7B59" w:rsidRPr="002D0203" w:rsidRDefault="009D7B59" w:rsidP="000F0979">
            <w:pPr>
              <w:jc w:val="center"/>
              <w:rPr>
                <w:rFonts w:ascii="Arial" w:hAnsi="Arial" w:cs="Arial"/>
                <w:sz w:val="20"/>
                <w:szCs w:val="20"/>
              </w:rPr>
            </w:pPr>
            <w:r w:rsidRPr="002D0203">
              <w:rPr>
                <w:rFonts w:ascii="Arial" w:hAnsi="Arial" w:cs="Arial"/>
                <w:sz w:val="20"/>
                <w:szCs w:val="20"/>
              </w:rPr>
              <w:t>Modelo Geral</w:t>
            </w:r>
          </w:p>
        </w:tc>
      </w:tr>
      <w:tr w:rsidR="009D7B59" w14:paraId="72F9D733" w14:textId="77777777" w:rsidTr="000F0979">
        <w:tc>
          <w:tcPr>
            <w:tcW w:w="1520" w:type="dxa"/>
            <w:tcBorders>
              <w:top w:val="single" w:sz="4" w:space="0" w:color="auto"/>
            </w:tcBorders>
            <w:vAlign w:val="center"/>
          </w:tcPr>
          <w:p w14:paraId="4F984649" w14:textId="77777777" w:rsidR="009D7B59" w:rsidRPr="002D0203" w:rsidRDefault="009D7B59" w:rsidP="009D7B59">
            <w:pPr>
              <w:spacing w:line="360" w:lineRule="auto"/>
              <w:jc w:val="both"/>
              <w:rPr>
                <w:rFonts w:ascii="Arial" w:hAnsi="Arial" w:cs="Arial"/>
                <w:sz w:val="20"/>
                <w:szCs w:val="20"/>
              </w:rPr>
            </w:pPr>
            <w:r>
              <w:rPr>
                <w:rFonts w:ascii="Arial" w:hAnsi="Arial" w:cs="Arial"/>
                <w:sz w:val="20"/>
                <w:szCs w:val="20"/>
              </w:rPr>
              <w:t>C</w:t>
            </w:r>
          </w:p>
        </w:tc>
        <w:tc>
          <w:tcPr>
            <w:tcW w:w="1355" w:type="dxa"/>
            <w:tcBorders>
              <w:top w:val="single" w:sz="4" w:space="0" w:color="auto"/>
            </w:tcBorders>
            <w:vAlign w:val="center"/>
          </w:tcPr>
          <w:p w14:paraId="17E690AC" w14:textId="77777777" w:rsidR="009D7B59" w:rsidRDefault="009D7B59" w:rsidP="009D7B59">
            <w:pPr>
              <w:jc w:val="center"/>
              <w:rPr>
                <w:rFonts w:ascii="Arial" w:hAnsi="Arial" w:cs="Arial"/>
                <w:sz w:val="20"/>
                <w:szCs w:val="20"/>
              </w:rPr>
            </w:pPr>
            <w:r>
              <w:rPr>
                <w:rFonts w:ascii="Arial" w:hAnsi="Arial" w:cs="Arial"/>
                <w:sz w:val="20"/>
                <w:szCs w:val="20"/>
              </w:rPr>
              <w:t>0,006</w:t>
            </w:r>
          </w:p>
          <w:p w14:paraId="430F5CC0" w14:textId="635238C1" w:rsidR="009D7B59" w:rsidRDefault="003343E0" w:rsidP="009D7B59">
            <w:pPr>
              <w:jc w:val="center"/>
              <w:rPr>
                <w:rFonts w:ascii="Arial" w:hAnsi="Arial" w:cs="Arial"/>
                <w:sz w:val="20"/>
                <w:szCs w:val="20"/>
              </w:rPr>
            </w:pPr>
            <w:r>
              <w:rPr>
                <w:rFonts w:ascii="Arial" w:hAnsi="Arial" w:cs="Arial"/>
                <w:sz w:val="20"/>
                <w:szCs w:val="20"/>
              </w:rPr>
              <w:t>[</w:t>
            </w:r>
            <w:r w:rsidR="009D7B59">
              <w:rPr>
                <w:rFonts w:ascii="Arial" w:hAnsi="Arial" w:cs="Arial"/>
                <w:sz w:val="20"/>
                <w:szCs w:val="20"/>
              </w:rPr>
              <w:t>0,</w:t>
            </w:r>
            <w:r w:rsidR="00396B14">
              <w:rPr>
                <w:rFonts w:ascii="Arial" w:hAnsi="Arial" w:cs="Arial"/>
                <w:sz w:val="20"/>
                <w:szCs w:val="20"/>
              </w:rPr>
              <w:t>3279</w:t>
            </w:r>
            <w:r>
              <w:rPr>
                <w:rFonts w:ascii="Arial" w:hAnsi="Arial" w:cs="Arial"/>
                <w:sz w:val="20"/>
                <w:szCs w:val="20"/>
              </w:rPr>
              <w:t>]</w:t>
            </w:r>
          </w:p>
          <w:p w14:paraId="52003A32" w14:textId="56CAF46A" w:rsidR="009D7B59" w:rsidRPr="002D0203" w:rsidRDefault="009D7B59" w:rsidP="009D7B59">
            <w:pPr>
              <w:jc w:val="center"/>
              <w:rPr>
                <w:rFonts w:ascii="Arial" w:hAnsi="Arial" w:cs="Arial"/>
                <w:sz w:val="20"/>
                <w:szCs w:val="20"/>
              </w:rPr>
            </w:pPr>
          </w:p>
        </w:tc>
        <w:tc>
          <w:tcPr>
            <w:tcW w:w="1355" w:type="dxa"/>
            <w:tcBorders>
              <w:top w:val="single" w:sz="4" w:space="0" w:color="auto"/>
            </w:tcBorders>
            <w:vAlign w:val="center"/>
          </w:tcPr>
          <w:p w14:paraId="6E8994BF" w14:textId="77777777" w:rsidR="009D7B59" w:rsidRDefault="009D7B59" w:rsidP="009D7B59">
            <w:pPr>
              <w:jc w:val="center"/>
              <w:rPr>
                <w:rFonts w:ascii="Arial" w:hAnsi="Arial" w:cs="Arial"/>
                <w:sz w:val="20"/>
                <w:szCs w:val="20"/>
              </w:rPr>
            </w:pPr>
            <w:r>
              <w:rPr>
                <w:rFonts w:ascii="Arial" w:hAnsi="Arial" w:cs="Arial"/>
                <w:sz w:val="20"/>
                <w:szCs w:val="20"/>
              </w:rPr>
              <w:t>0,170</w:t>
            </w:r>
          </w:p>
          <w:p w14:paraId="1EA377C5" w14:textId="24A71E20" w:rsidR="009D7B59" w:rsidRDefault="003343E0" w:rsidP="009D7B59">
            <w:pPr>
              <w:jc w:val="center"/>
              <w:rPr>
                <w:rFonts w:ascii="Arial" w:hAnsi="Arial" w:cs="Arial"/>
                <w:sz w:val="20"/>
                <w:szCs w:val="20"/>
              </w:rPr>
            </w:pPr>
            <w:r>
              <w:rPr>
                <w:rFonts w:ascii="Arial" w:hAnsi="Arial" w:cs="Arial"/>
                <w:sz w:val="20"/>
                <w:szCs w:val="20"/>
              </w:rPr>
              <w:t>[</w:t>
            </w:r>
            <w:r w:rsidR="009D7B59">
              <w:rPr>
                <w:rFonts w:ascii="Arial" w:hAnsi="Arial" w:cs="Arial"/>
                <w:sz w:val="20"/>
                <w:szCs w:val="20"/>
              </w:rPr>
              <w:t>0,</w:t>
            </w:r>
            <w:r w:rsidR="00396B14">
              <w:rPr>
                <w:rFonts w:ascii="Arial" w:hAnsi="Arial" w:cs="Arial"/>
                <w:sz w:val="20"/>
                <w:szCs w:val="20"/>
              </w:rPr>
              <w:t>9621</w:t>
            </w:r>
            <w:r>
              <w:rPr>
                <w:rFonts w:ascii="Arial" w:hAnsi="Arial" w:cs="Arial"/>
                <w:sz w:val="20"/>
                <w:szCs w:val="20"/>
              </w:rPr>
              <w:t>]</w:t>
            </w:r>
          </w:p>
          <w:p w14:paraId="4E815D04" w14:textId="25FAB94D" w:rsidR="009D7B59" w:rsidRPr="002D0203" w:rsidRDefault="009D7B59" w:rsidP="009D7B59">
            <w:pPr>
              <w:jc w:val="center"/>
              <w:rPr>
                <w:rFonts w:ascii="Arial" w:hAnsi="Arial" w:cs="Arial"/>
                <w:sz w:val="20"/>
                <w:szCs w:val="20"/>
              </w:rPr>
            </w:pPr>
          </w:p>
        </w:tc>
        <w:tc>
          <w:tcPr>
            <w:tcW w:w="1355" w:type="dxa"/>
            <w:tcBorders>
              <w:top w:val="single" w:sz="4" w:space="0" w:color="auto"/>
            </w:tcBorders>
            <w:vAlign w:val="center"/>
          </w:tcPr>
          <w:p w14:paraId="133626E3" w14:textId="77777777" w:rsidR="009D7B59" w:rsidRDefault="00DF4A2E" w:rsidP="009D7B59">
            <w:pPr>
              <w:jc w:val="center"/>
              <w:rPr>
                <w:rFonts w:ascii="Arial" w:hAnsi="Arial" w:cs="Arial"/>
                <w:sz w:val="20"/>
                <w:szCs w:val="20"/>
              </w:rPr>
            </w:pPr>
            <w:r>
              <w:rPr>
                <w:rFonts w:ascii="Arial" w:hAnsi="Arial" w:cs="Arial"/>
                <w:sz w:val="20"/>
                <w:szCs w:val="20"/>
              </w:rPr>
              <w:t>0,082</w:t>
            </w:r>
          </w:p>
          <w:p w14:paraId="0F1391F4" w14:textId="13D0660D" w:rsidR="00DF4A2E" w:rsidRDefault="003343E0" w:rsidP="009D7B59">
            <w:pPr>
              <w:jc w:val="center"/>
              <w:rPr>
                <w:rFonts w:ascii="Arial" w:hAnsi="Arial" w:cs="Arial"/>
                <w:sz w:val="20"/>
                <w:szCs w:val="20"/>
              </w:rPr>
            </w:pPr>
            <w:r>
              <w:rPr>
                <w:rFonts w:ascii="Arial" w:hAnsi="Arial" w:cs="Arial"/>
                <w:sz w:val="20"/>
                <w:szCs w:val="20"/>
              </w:rPr>
              <w:t>[</w:t>
            </w:r>
            <w:r w:rsidR="00DF4A2E">
              <w:rPr>
                <w:rFonts w:ascii="Arial" w:hAnsi="Arial" w:cs="Arial"/>
                <w:sz w:val="20"/>
                <w:szCs w:val="20"/>
              </w:rPr>
              <w:t>0</w:t>
            </w:r>
            <w:r w:rsidR="00C93F50">
              <w:rPr>
                <w:rFonts w:ascii="Arial" w:hAnsi="Arial" w:cs="Arial"/>
                <w:sz w:val="20"/>
                <w:szCs w:val="20"/>
              </w:rPr>
              <w:t>,3680</w:t>
            </w:r>
            <w:r>
              <w:rPr>
                <w:rFonts w:ascii="Arial" w:hAnsi="Arial" w:cs="Arial"/>
                <w:sz w:val="20"/>
                <w:szCs w:val="20"/>
              </w:rPr>
              <w:t>]</w:t>
            </w:r>
          </w:p>
          <w:p w14:paraId="76DF076D" w14:textId="1194A892" w:rsidR="00DF4A2E" w:rsidRPr="002D0203" w:rsidRDefault="00DF4A2E" w:rsidP="009D7B59">
            <w:pPr>
              <w:jc w:val="center"/>
              <w:rPr>
                <w:rFonts w:ascii="Arial" w:hAnsi="Arial" w:cs="Arial"/>
                <w:sz w:val="20"/>
                <w:szCs w:val="20"/>
              </w:rPr>
            </w:pPr>
          </w:p>
        </w:tc>
        <w:tc>
          <w:tcPr>
            <w:tcW w:w="1356" w:type="dxa"/>
            <w:tcBorders>
              <w:top w:val="single" w:sz="4" w:space="0" w:color="auto"/>
            </w:tcBorders>
            <w:vAlign w:val="center"/>
          </w:tcPr>
          <w:p w14:paraId="448943D3" w14:textId="77777777" w:rsidR="009D7B59" w:rsidRDefault="00DF4A2E" w:rsidP="009D7B59">
            <w:pPr>
              <w:jc w:val="center"/>
              <w:rPr>
                <w:rFonts w:ascii="Arial" w:hAnsi="Arial" w:cs="Arial"/>
                <w:sz w:val="20"/>
                <w:szCs w:val="20"/>
              </w:rPr>
            </w:pPr>
            <w:r>
              <w:rPr>
                <w:rFonts w:ascii="Arial" w:hAnsi="Arial" w:cs="Arial"/>
                <w:sz w:val="20"/>
                <w:szCs w:val="20"/>
              </w:rPr>
              <w:t>0,097</w:t>
            </w:r>
          </w:p>
          <w:p w14:paraId="34FFEAED" w14:textId="2185885B" w:rsidR="00DF4A2E" w:rsidRDefault="003343E0" w:rsidP="009D7B59">
            <w:pPr>
              <w:jc w:val="center"/>
              <w:rPr>
                <w:rFonts w:ascii="Arial" w:hAnsi="Arial" w:cs="Arial"/>
                <w:sz w:val="20"/>
                <w:szCs w:val="20"/>
              </w:rPr>
            </w:pPr>
            <w:r>
              <w:rPr>
                <w:rFonts w:ascii="Arial" w:hAnsi="Arial" w:cs="Arial"/>
                <w:sz w:val="20"/>
                <w:szCs w:val="20"/>
              </w:rPr>
              <w:t>[</w:t>
            </w:r>
            <w:r w:rsidR="00DF4A2E">
              <w:rPr>
                <w:rFonts w:ascii="Arial" w:hAnsi="Arial" w:cs="Arial"/>
                <w:sz w:val="20"/>
                <w:szCs w:val="20"/>
              </w:rPr>
              <w:t>0,</w:t>
            </w:r>
            <w:r w:rsidR="00C93F50">
              <w:rPr>
                <w:rFonts w:ascii="Arial" w:hAnsi="Arial" w:cs="Arial"/>
                <w:sz w:val="20"/>
                <w:szCs w:val="20"/>
              </w:rPr>
              <w:t>5179</w:t>
            </w:r>
            <w:r>
              <w:rPr>
                <w:rFonts w:ascii="Arial" w:hAnsi="Arial" w:cs="Arial"/>
                <w:sz w:val="20"/>
                <w:szCs w:val="20"/>
              </w:rPr>
              <w:t>]</w:t>
            </w:r>
          </w:p>
          <w:p w14:paraId="084BC905" w14:textId="6F2D3966" w:rsidR="00DF4A2E" w:rsidRPr="002D0203" w:rsidRDefault="00DF4A2E" w:rsidP="009D7B59">
            <w:pPr>
              <w:jc w:val="center"/>
              <w:rPr>
                <w:rFonts w:ascii="Arial" w:hAnsi="Arial" w:cs="Arial"/>
                <w:sz w:val="20"/>
                <w:szCs w:val="20"/>
              </w:rPr>
            </w:pPr>
          </w:p>
        </w:tc>
        <w:tc>
          <w:tcPr>
            <w:tcW w:w="1547" w:type="dxa"/>
            <w:tcBorders>
              <w:top w:val="single" w:sz="4" w:space="0" w:color="auto"/>
            </w:tcBorders>
            <w:vAlign w:val="center"/>
          </w:tcPr>
          <w:p w14:paraId="67ED987F" w14:textId="77777777" w:rsidR="009D7B59" w:rsidRDefault="003D159F" w:rsidP="009D7B59">
            <w:pPr>
              <w:jc w:val="center"/>
              <w:rPr>
                <w:rFonts w:ascii="Arial" w:hAnsi="Arial" w:cs="Arial"/>
                <w:sz w:val="20"/>
                <w:szCs w:val="20"/>
              </w:rPr>
            </w:pPr>
            <w:r>
              <w:rPr>
                <w:rFonts w:ascii="Arial" w:hAnsi="Arial" w:cs="Arial"/>
                <w:sz w:val="20"/>
                <w:szCs w:val="20"/>
              </w:rPr>
              <w:t>- 0,021</w:t>
            </w:r>
          </w:p>
          <w:p w14:paraId="31386C4C" w14:textId="3CA7D494" w:rsidR="003D159F" w:rsidRDefault="003343E0" w:rsidP="009D7B59">
            <w:pPr>
              <w:jc w:val="center"/>
              <w:rPr>
                <w:rFonts w:ascii="Arial" w:hAnsi="Arial" w:cs="Arial"/>
                <w:sz w:val="20"/>
                <w:szCs w:val="20"/>
              </w:rPr>
            </w:pPr>
            <w:r>
              <w:rPr>
                <w:rFonts w:ascii="Arial" w:hAnsi="Arial" w:cs="Arial"/>
                <w:sz w:val="20"/>
                <w:szCs w:val="20"/>
              </w:rPr>
              <w:t>[</w:t>
            </w:r>
            <w:r w:rsidR="003D159F">
              <w:rPr>
                <w:rFonts w:ascii="Arial" w:hAnsi="Arial" w:cs="Arial"/>
                <w:sz w:val="20"/>
                <w:szCs w:val="20"/>
              </w:rPr>
              <w:t>0,</w:t>
            </w:r>
            <w:r w:rsidR="00C93F50">
              <w:rPr>
                <w:rFonts w:ascii="Arial" w:hAnsi="Arial" w:cs="Arial"/>
                <w:sz w:val="20"/>
                <w:szCs w:val="20"/>
              </w:rPr>
              <w:t>0924</w:t>
            </w:r>
            <w:r>
              <w:rPr>
                <w:rFonts w:ascii="Arial" w:hAnsi="Arial" w:cs="Arial"/>
                <w:sz w:val="20"/>
                <w:szCs w:val="20"/>
              </w:rPr>
              <w:t>]</w:t>
            </w:r>
          </w:p>
          <w:p w14:paraId="10BB0D4C" w14:textId="27458628" w:rsidR="003D159F" w:rsidRPr="002D0203" w:rsidRDefault="003D159F" w:rsidP="009D7B59">
            <w:pPr>
              <w:jc w:val="center"/>
              <w:rPr>
                <w:rFonts w:ascii="Arial" w:hAnsi="Arial" w:cs="Arial"/>
                <w:sz w:val="20"/>
                <w:szCs w:val="20"/>
              </w:rPr>
            </w:pPr>
          </w:p>
        </w:tc>
      </w:tr>
      <w:tr w:rsidR="009D7B59" w14:paraId="3E769973" w14:textId="77777777" w:rsidTr="009D7B59">
        <w:tc>
          <w:tcPr>
            <w:tcW w:w="1520" w:type="dxa"/>
            <w:vAlign w:val="center"/>
          </w:tcPr>
          <w:p w14:paraId="75C1C160"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I_1</w:t>
            </w:r>
          </w:p>
        </w:tc>
        <w:tc>
          <w:tcPr>
            <w:tcW w:w="1355" w:type="dxa"/>
            <w:vAlign w:val="center"/>
          </w:tcPr>
          <w:p w14:paraId="737E1F65" w14:textId="77777777" w:rsidR="009D7B59" w:rsidRDefault="009D7B59" w:rsidP="009D7B59">
            <w:pPr>
              <w:jc w:val="center"/>
              <w:rPr>
                <w:rFonts w:ascii="Arial" w:hAnsi="Arial" w:cs="Arial"/>
                <w:sz w:val="20"/>
                <w:szCs w:val="20"/>
              </w:rPr>
            </w:pPr>
            <w:r>
              <w:rPr>
                <w:rFonts w:ascii="Arial" w:hAnsi="Arial" w:cs="Arial"/>
                <w:sz w:val="20"/>
                <w:szCs w:val="20"/>
              </w:rPr>
              <w:t>1,952</w:t>
            </w:r>
          </w:p>
          <w:p w14:paraId="5CBE1AA2" w14:textId="5CFD4D4F"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1,8374</w:t>
            </w:r>
            <w:r>
              <w:rPr>
                <w:rFonts w:ascii="Arial" w:hAnsi="Arial" w:cs="Arial"/>
                <w:sz w:val="20"/>
                <w:szCs w:val="20"/>
              </w:rPr>
              <w:t>]</w:t>
            </w:r>
            <w:r w:rsidR="009D7B59" w:rsidRPr="009D7B59">
              <w:rPr>
                <w:rFonts w:ascii="Arial" w:hAnsi="Arial" w:cs="Arial"/>
                <w:sz w:val="20"/>
                <w:szCs w:val="20"/>
                <w:vertAlign w:val="superscript"/>
              </w:rPr>
              <w:t>(</w:t>
            </w:r>
            <w:r w:rsidR="00997E2F">
              <w:rPr>
                <w:rFonts w:ascii="Arial" w:hAnsi="Arial" w:cs="Arial"/>
                <w:sz w:val="20"/>
                <w:szCs w:val="20"/>
                <w:vertAlign w:val="superscript"/>
              </w:rPr>
              <w:t>c</w:t>
            </w:r>
            <w:r w:rsidR="009D7B59" w:rsidRPr="009D7B59">
              <w:rPr>
                <w:rFonts w:ascii="Arial" w:hAnsi="Arial" w:cs="Arial"/>
                <w:sz w:val="20"/>
                <w:szCs w:val="20"/>
                <w:vertAlign w:val="superscript"/>
              </w:rPr>
              <w:t>)</w:t>
            </w:r>
          </w:p>
          <w:p w14:paraId="02B9407B" w14:textId="3500049F" w:rsidR="009D7B59" w:rsidRPr="002D0203" w:rsidRDefault="009D7B59" w:rsidP="009D7B59">
            <w:pPr>
              <w:jc w:val="center"/>
              <w:rPr>
                <w:rFonts w:ascii="Arial" w:hAnsi="Arial" w:cs="Arial"/>
                <w:sz w:val="20"/>
                <w:szCs w:val="20"/>
              </w:rPr>
            </w:pPr>
          </w:p>
        </w:tc>
        <w:tc>
          <w:tcPr>
            <w:tcW w:w="1355" w:type="dxa"/>
            <w:vAlign w:val="center"/>
          </w:tcPr>
          <w:p w14:paraId="17EB4F95" w14:textId="7FBB3BAC"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5" w:type="dxa"/>
            <w:vAlign w:val="center"/>
          </w:tcPr>
          <w:p w14:paraId="3958C7A3" w14:textId="328A7FFC"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6" w:type="dxa"/>
            <w:vAlign w:val="center"/>
          </w:tcPr>
          <w:p w14:paraId="1DEF997E" w14:textId="2CB56583"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547" w:type="dxa"/>
            <w:vAlign w:val="center"/>
          </w:tcPr>
          <w:p w14:paraId="0915B6C3" w14:textId="74AD7CDB" w:rsidR="009D7B59" w:rsidRDefault="003D159F" w:rsidP="009D7B59">
            <w:pPr>
              <w:jc w:val="center"/>
              <w:rPr>
                <w:rFonts w:ascii="Arial" w:hAnsi="Arial" w:cs="Arial"/>
                <w:sz w:val="20"/>
                <w:szCs w:val="20"/>
              </w:rPr>
            </w:pPr>
            <w:r>
              <w:rPr>
                <w:rFonts w:ascii="Arial" w:hAnsi="Arial" w:cs="Arial"/>
                <w:sz w:val="20"/>
                <w:szCs w:val="20"/>
              </w:rPr>
              <w:t>2,743</w:t>
            </w:r>
          </w:p>
          <w:p w14:paraId="36D35829" w14:textId="1480E9FB" w:rsidR="003D159F"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1,7801</w:t>
            </w:r>
            <w:r>
              <w:rPr>
                <w:rFonts w:ascii="Arial" w:hAnsi="Arial" w:cs="Arial"/>
                <w:sz w:val="20"/>
                <w:szCs w:val="20"/>
              </w:rPr>
              <w:t>]</w:t>
            </w:r>
            <w:r w:rsidR="003D159F" w:rsidRPr="003D159F">
              <w:rPr>
                <w:rFonts w:ascii="Arial" w:hAnsi="Arial" w:cs="Arial"/>
                <w:sz w:val="20"/>
                <w:szCs w:val="20"/>
                <w:vertAlign w:val="superscript"/>
              </w:rPr>
              <w:t>(</w:t>
            </w:r>
            <w:r w:rsidR="00997E2F">
              <w:rPr>
                <w:rFonts w:ascii="Arial" w:hAnsi="Arial" w:cs="Arial"/>
                <w:sz w:val="20"/>
                <w:szCs w:val="20"/>
                <w:vertAlign w:val="superscript"/>
              </w:rPr>
              <w:t>c</w:t>
            </w:r>
            <w:r w:rsidR="003D159F" w:rsidRPr="003D159F">
              <w:rPr>
                <w:rFonts w:ascii="Arial" w:hAnsi="Arial" w:cs="Arial"/>
                <w:sz w:val="20"/>
                <w:szCs w:val="20"/>
                <w:vertAlign w:val="superscript"/>
              </w:rPr>
              <w:t>)</w:t>
            </w:r>
          </w:p>
          <w:p w14:paraId="6B448386" w14:textId="2F3F9F69" w:rsidR="003D159F" w:rsidRPr="002D0203" w:rsidRDefault="003D159F" w:rsidP="009D7B59">
            <w:pPr>
              <w:jc w:val="center"/>
              <w:rPr>
                <w:rFonts w:ascii="Arial" w:hAnsi="Arial" w:cs="Arial"/>
                <w:sz w:val="20"/>
                <w:szCs w:val="20"/>
              </w:rPr>
            </w:pPr>
          </w:p>
        </w:tc>
      </w:tr>
      <w:tr w:rsidR="009D7B59" w14:paraId="1E568D09" w14:textId="77777777" w:rsidTr="009D7B59">
        <w:tc>
          <w:tcPr>
            <w:tcW w:w="1520" w:type="dxa"/>
            <w:vAlign w:val="center"/>
          </w:tcPr>
          <w:p w14:paraId="66E9AEA9"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I_2</w:t>
            </w:r>
          </w:p>
        </w:tc>
        <w:tc>
          <w:tcPr>
            <w:tcW w:w="1355" w:type="dxa"/>
            <w:vAlign w:val="center"/>
          </w:tcPr>
          <w:p w14:paraId="2DDE7A17" w14:textId="3AB70FB3"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5" w:type="dxa"/>
            <w:vAlign w:val="center"/>
          </w:tcPr>
          <w:p w14:paraId="3CBF2A50" w14:textId="77777777" w:rsidR="009D7B59" w:rsidRDefault="009D7B59" w:rsidP="009D7B59">
            <w:pPr>
              <w:jc w:val="center"/>
              <w:rPr>
                <w:rFonts w:ascii="Arial" w:hAnsi="Arial" w:cs="Arial"/>
                <w:sz w:val="20"/>
                <w:szCs w:val="20"/>
              </w:rPr>
            </w:pPr>
            <w:r>
              <w:rPr>
                <w:rFonts w:ascii="Arial" w:hAnsi="Arial" w:cs="Arial"/>
                <w:sz w:val="20"/>
                <w:szCs w:val="20"/>
              </w:rPr>
              <w:t>0,446</w:t>
            </w:r>
          </w:p>
          <w:p w14:paraId="14E9651C" w14:textId="123292EE" w:rsidR="009D7B59" w:rsidRDefault="003343E0" w:rsidP="009D7B59">
            <w:pPr>
              <w:jc w:val="center"/>
              <w:rPr>
                <w:rFonts w:ascii="Arial" w:hAnsi="Arial" w:cs="Arial"/>
                <w:sz w:val="20"/>
                <w:szCs w:val="20"/>
              </w:rPr>
            </w:pPr>
            <w:r>
              <w:rPr>
                <w:rFonts w:ascii="Arial" w:hAnsi="Arial" w:cs="Arial"/>
                <w:sz w:val="20"/>
                <w:szCs w:val="20"/>
              </w:rPr>
              <w:t>[</w:t>
            </w:r>
            <w:r w:rsidR="009D7B59">
              <w:rPr>
                <w:rFonts w:ascii="Arial" w:hAnsi="Arial" w:cs="Arial"/>
                <w:sz w:val="20"/>
                <w:szCs w:val="20"/>
              </w:rPr>
              <w:t>0,</w:t>
            </w:r>
            <w:r w:rsidR="00396B14">
              <w:rPr>
                <w:rFonts w:ascii="Arial" w:hAnsi="Arial" w:cs="Arial"/>
                <w:sz w:val="20"/>
                <w:szCs w:val="20"/>
              </w:rPr>
              <w:t>6643</w:t>
            </w:r>
            <w:r>
              <w:rPr>
                <w:rFonts w:ascii="Arial" w:hAnsi="Arial" w:cs="Arial"/>
                <w:sz w:val="20"/>
                <w:szCs w:val="20"/>
              </w:rPr>
              <w:t>]</w:t>
            </w:r>
          </w:p>
          <w:p w14:paraId="016B999F" w14:textId="04FA6460" w:rsidR="009D7B59" w:rsidRPr="002D0203" w:rsidRDefault="009D7B59" w:rsidP="009D7B59">
            <w:pPr>
              <w:jc w:val="center"/>
              <w:rPr>
                <w:rFonts w:ascii="Arial" w:hAnsi="Arial" w:cs="Arial"/>
                <w:sz w:val="20"/>
                <w:szCs w:val="20"/>
              </w:rPr>
            </w:pPr>
          </w:p>
        </w:tc>
        <w:tc>
          <w:tcPr>
            <w:tcW w:w="1355" w:type="dxa"/>
            <w:vAlign w:val="center"/>
          </w:tcPr>
          <w:p w14:paraId="17F10E3B" w14:textId="065CAF15"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6" w:type="dxa"/>
            <w:vAlign w:val="center"/>
          </w:tcPr>
          <w:p w14:paraId="15BB9A05" w14:textId="460424DC"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547" w:type="dxa"/>
            <w:vAlign w:val="center"/>
          </w:tcPr>
          <w:p w14:paraId="59F4A124" w14:textId="77777777" w:rsidR="009D7B59" w:rsidRDefault="003D159F" w:rsidP="009D7B59">
            <w:pPr>
              <w:jc w:val="center"/>
              <w:rPr>
                <w:rFonts w:ascii="Arial" w:hAnsi="Arial" w:cs="Arial"/>
                <w:sz w:val="20"/>
                <w:szCs w:val="20"/>
              </w:rPr>
            </w:pPr>
            <w:r>
              <w:rPr>
                <w:rFonts w:ascii="Arial" w:hAnsi="Arial" w:cs="Arial"/>
                <w:sz w:val="20"/>
                <w:szCs w:val="20"/>
              </w:rPr>
              <w:t>- 0,818</w:t>
            </w:r>
          </w:p>
          <w:p w14:paraId="7AB6A62E" w14:textId="37936DE9" w:rsidR="003D159F"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- 0,8737</w:t>
            </w:r>
            <w:r>
              <w:rPr>
                <w:rFonts w:ascii="Arial" w:hAnsi="Arial" w:cs="Arial"/>
                <w:sz w:val="20"/>
                <w:szCs w:val="20"/>
              </w:rPr>
              <w:t>]</w:t>
            </w:r>
          </w:p>
          <w:p w14:paraId="546413C0" w14:textId="09396A7B" w:rsidR="003D159F" w:rsidRPr="002D0203" w:rsidRDefault="003D159F" w:rsidP="009D7B59">
            <w:pPr>
              <w:jc w:val="center"/>
              <w:rPr>
                <w:rFonts w:ascii="Arial" w:hAnsi="Arial" w:cs="Arial"/>
                <w:sz w:val="20"/>
                <w:szCs w:val="20"/>
              </w:rPr>
            </w:pPr>
          </w:p>
        </w:tc>
      </w:tr>
      <w:tr w:rsidR="009D7B59" w14:paraId="3A69702E" w14:textId="77777777" w:rsidTr="009D7B59">
        <w:tc>
          <w:tcPr>
            <w:tcW w:w="1520" w:type="dxa"/>
            <w:vAlign w:val="center"/>
          </w:tcPr>
          <w:p w14:paraId="796D5567"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I_3</w:t>
            </w:r>
          </w:p>
        </w:tc>
        <w:tc>
          <w:tcPr>
            <w:tcW w:w="1355" w:type="dxa"/>
            <w:vAlign w:val="center"/>
          </w:tcPr>
          <w:p w14:paraId="72724707" w14:textId="1BE21D79"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5" w:type="dxa"/>
            <w:vAlign w:val="center"/>
          </w:tcPr>
          <w:p w14:paraId="251BC610" w14:textId="4CED4472"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5" w:type="dxa"/>
            <w:vAlign w:val="center"/>
          </w:tcPr>
          <w:p w14:paraId="32368214" w14:textId="77777777" w:rsidR="009D7B59" w:rsidRDefault="00DF4A2E" w:rsidP="009D7B59">
            <w:pPr>
              <w:jc w:val="center"/>
              <w:rPr>
                <w:rFonts w:ascii="Arial" w:hAnsi="Arial" w:cs="Arial"/>
                <w:sz w:val="20"/>
                <w:szCs w:val="20"/>
              </w:rPr>
            </w:pPr>
            <w:r>
              <w:rPr>
                <w:rFonts w:ascii="Arial" w:hAnsi="Arial" w:cs="Arial"/>
                <w:sz w:val="20"/>
                <w:szCs w:val="20"/>
              </w:rPr>
              <w:t>0,251</w:t>
            </w:r>
          </w:p>
          <w:p w14:paraId="7A9F245D" w14:textId="60102C9D" w:rsidR="00DF4A2E" w:rsidRPr="002D0203" w:rsidRDefault="003343E0" w:rsidP="009D7B59">
            <w:pPr>
              <w:jc w:val="center"/>
              <w:rPr>
                <w:rFonts w:ascii="Arial" w:hAnsi="Arial" w:cs="Arial"/>
                <w:sz w:val="20"/>
                <w:szCs w:val="20"/>
              </w:rPr>
            </w:pPr>
            <w:r>
              <w:rPr>
                <w:rFonts w:ascii="Arial" w:hAnsi="Arial" w:cs="Arial"/>
                <w:sz w:val="20"/>
                <w:szCs w:val="20"/>
              </w:rPr>
              <w:t>[</w:t>
            </w:r>
            <w:r w:rsidR="00DF4A2E">
              <w:rPr>
                <w:rFonts w:ascii="Arial" w:hAnsi="Arial" w:cs="Arial"/>
                <w:sz w:val="20"/>
                <w:szCs w:val="20"/>
              </w:rPr>
              <w:t>0,</w:t>
            </w:r>
            <w:r w:rsidR="00C93F50">
              <w:rPr>
                <w:rFonts w:ascii="Arial" w:hAnsi="Arial" w:cs="Arial"/>
                <w:sz w:val="20"/>
                <w:szCs w:val="20"/>
              </w:rPr>
              <w:t>9100</w:t>
            </w:r>
            <w:r>
              <w:rPr>
                <w:rFonts w:ascii="Arial" w:hAnsi="Arial" w:cs="Arial"/>
                <w:sz w:val="20"/>
                <w:szCs w:val="20"/>
              </w:rPr>
              <w:t>]</w:t>
            </w:r>
          </w:p>
        </w:tc>
        <w:tc>
          <w:tcPr>
            <w:tcW w:w="1356" w:type="dxa"/>
            <w:vAlign w:val="center"/>
          </w:tcPr>
          <w:p w14:paraId="46430FC0" w14:textId="2806F6B2"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547" w:type="dxa"/>
            <w:vAlign w:val="center"/>
          </w:tcPr>
          <w:p w14:paraId="7226E9D2" w14:textId="77777777" w:rsidR="009D7B59" w:rsidRDefault="003D159F" w:rsidP="009D7B59">
            <w:pPr>
              <w:jc w:val="center"/>
              <w:rPr>
                <w:rFonts w:ascii="Arial" w:hAnsi="Arial" w:cs="Arial"/>
                <w:sz w:val="20"/>
                <w:szCs w:val="20"/>
              </w:rPr>
            </w:pPr>
            <w:r>
              <w:rPr>
                <w:rFonts w:ascii="Arial" w:hAnsi="Arial" w:cs="Arial"/>
                <w:sz w:val="20"/>
                <w:szCs w:val="20"/>
              </w:rPr>
              <w:t>0,080</w:t>
            </w:r>
          </w:p>
          <w:p w14:paraId="3BEE2760" w14:textId="112F73E4" w:rsidR="003D159F" w:rsidRPr="002D0203" w:rsidRDefault="003343E0" w:rsidP="009D7B59">
            <w:pPr>
              <w:jc w:val="center"/>
              <w:rPr>
                <w:rFonts w:ascii="Arial" w:hAnsi="Arial" w:cs="Arial"/>
                <w:sz w:val="20"/>
                <w:szCs w:val="20"/>
              </w:rPr>
            </w:pPr>
            <w:r>
              <w:rPr>
                <w:rFonts w:ascii="Arial" w:hAnsi="Arial" w:cs="Arial"/>
                <w:sz w:val="20"/>
                <w:szCs w:val="20"/>
              </w:rPr>
              <w:t>[</w:t>
            </w:r>
            <w:r w:rsidR="003D159F">
              <w:rPr>
                <w:rFonts w:ascii="Arial" w:hAnsi="Arial" w:cs="Arial"/>
                <w:sz w:val="20"/>
                <w:szCs w:val="20"/>
              </w:rPr>
              <w:t>0,</w:t>
            </w:r>
            <w:r w:rsidR="00C93F50">
              <w:rPr>
                <w:rFonts w:ascii="Arial" w:hAnsi="Arial" w:cs="Arial"/>
                <w:sz w:val="20"/>
                <w:szCs w:val="20"/>
              </w:rPr>
              <w:t>2632</w:t>
            </w:r>
            <w:r>
              <w:rPr>
                <w:rFonts w:ascii="Arial" w:hAnsi="Arial" w:cs="Arial"/>
                <w:sz w:val="20"/>
                <w:szCs w:val="20"/>
              </w:rPr>
              <w:t>]</w:t>
            </w:r>
          </w:p>
        </w:tc>
      </w:tr>
      <w:tr w:rsidR="009D7B59" w14:paraId="10766311" w14:textId="77777777" w:rsidTr="009D7B59">
        <w:tc>
          <w:tcPr>
            <w:tcW w:w="1520" w:type="dxa"/>
            <w:vAlign w:val="center"/>
          </w:tcPr>
          <w:p w14:paraId="7A017A89"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I_4</w:t>
            </w:r>
          </w:p>
        </w:tc>
        <w:tc>
          <w:tcPr>
            <w:tcW w:w="1355" w:type="dxa"/>
            <w:vAlign w:val="center"/>
          </w:tcPr>
          <w:p w14:paraId="25C6D434" w14:textId="4C915D75"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5" w:type="dxa"/>
            <w:vAlign w:val="center"/>
          </w:tcPr>
          <w:p w14:paraId="57C7A13C" w14:textId="4567B922"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5" w:type="dxa"/>
            <w:vAlign w:val="center"/>
          </w:tcPr>
          <w:p w14:paraId="20816C8A" w14:textId="37362086" w:rsidR="009D7B59" w:rsidRPr="002D0203" w:rsidRDefault="00456646" w:rsidP="009D7B59">
            <w:pPr>
              <w:jc w:val="center"/>
              <w:rPr>
                <w:rFonts w:ascii="Arial" w:hAnsi="Arial" w:cs="Arial"/>
                <w:sz w:val="20"/>
                <w:szCs w:val="20"/>
              </w:rPr>
            </w:pPr>
            <w:r>
              <w:rPr>
                <w:rFonts w:ascii="Arial" w:hAnsi="Arial" w:cs="Arial"/>
                <w:sz w:val="20"/>
                <w:szCs w:val="20"/>
              </w:rPr>
              <w:t>-</w:t>
            </w:r>
          </w:p>
        </w:tc>
        <w:tc>
          <w:tcPr>
            <w:tcW w:w="1356" w:type="dxa"/>
            <w:vAlign w:val="center"/>
          </w:tcPr>
          <w:p w14:paraId="3AAEE0D0" w14:textId="77777777" w:rsidR="009D7B59" w:rsidRDefault="00DF4A2E" w:rsidP="009D7B59">
            <w:pPr>
              <w:jc w:val="center"/>
              <w:rPr>
                <w:rFonts w:ascii="Arial" w:hAnsi="Arial" w:cs="Arial"/>
                <w:sz w:val="20"/>
                <w:szCs w:val="20"/>
              </w:rPr>
            </w:pPr>
            <w:r>
              <w:rPr>
                <w:rFonts w:ascii="Arial" w:hAnsi="Arial" w:cs="Arial"/>
                <w:sz w:val="20"/>
                <w:szCs w:val="20"/>
              </w:rPr>
              <w:t>1,068</w:t>
            </w:r>
          </w:p>
          <w:p w14:paraId="5FBA94DD" w14:textId="45B3D68E"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1,2019</w:t>
            </w:r>
            <w:r>
              <w:rPr>
                <w:rFonts w:ascii="Arial" w:hAnsi="Arial" w:cs="Arial"/>
                <w:sz w:val="20"/>
                <w:szCs w:val="20"/>
              </w:rPr>
              <w:t>]</w:t>
            </w:r>
          </w:p>
          <w:p w14:paraId="05442B78" w14:textId="242FFAF0" w:rsidR="00DF4A2E" w:rsidRPr="002D0203" w:rsidRDefault="00DF4A2E" w:rsidP="009D7B59">
            <w:pPr>
              <w:jc w:val="center"/>
              <w:rPr>
                <w:rFonts w:ascii="Arial" w:hAnsi="Arial" w:cs="Arial"/>
                <w:sz w:val="20"/>
                <w:szCs w:val="20"/>
              </w:rPr>
            </w:pPr>
          </w:p>
        </w:tc>
        <w:tc>
          <w:tcPr>
            <w:tcW w:w="1547" w:type="dxa"/>
            <w:vAlign w:val="center"/>
          </w:tcPr>
          <w:p w14:paraId="23445B7C" w14:textId="2E32DE49" w:rsidR="009D7B59" w:rsidRPr="002D0203" w:rsidRDefault="00456646" w:rsidP="009D7B59">
            <w:pPr>
              <w:jc w:val="center"/>
              <w:rPr>
                <w:rFonts w:ascii="Arial" w:hAnsi="Arial" w:cs="Arial"/>
                <w:sz w:val="20"/>
                <w:szCs w:val="20"/>
              </w:rPr>
            </w:pPr>
            <w:r>
              <w:rPr>
                <w:rFonts w:ascii="Arial" w:hAnsi="Arial" w:cs="Arial"/>
                <w:sz w:val="20"/>
                <w:szCs w:val="20"/>
              </w:rPr>
              <w:t>-</w:t>
            </w:r>
          </w:p>
        </w:tc>
      </w:tr>
      <w:tr w:rsidR="009D7B59" w14:paraId="1B9836A9" w14:textId="77777777" w:rsidTr="009D7B59">
        <w:tc>
          <w:tcPr>
            <w:tcW w:w="1520" w:type="dxa"/>
            <w:vAlign w:val="center"/>
          </w:tcPr>
          <w:p w14:paraId="28C32D70"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G</w:t>
            </w:r>
          </w:p>
        </w:tc>
        <w:tc>
          <w:tcPr>
            <w:tcW w:w="1355" w:type="dxa"/>
            <w:vAlign w:val="center"/>
          </w:tcPr>
          <w:p w14:paraId="235CA44E" w14:textId="77777777" w:rsidR="009D7B59" w:rsidRDefault="009D7B59" w:rsidP="009D7B59">
            <w:pPr>
              <w:jc w:val="center"/>
              <w:rPr>
                <w:rFonts w:ascii="Arial" w:hAnsi="Arial" w:cs="Arial"/>
                <w:sz w:val="20"/>
                <w:szCs w:val="20"/>
              </w:rPr>
            </w:pPr>
            <w:r>
              <w:rPr>
                <w:rFonts w:ascii="Arial" w:hAnsi="Arial" w:cs="Arial"/>
                <w:sz w:val="20"/>
                <w:szCs w:val="20"/>
              </w:rPr>
              <w:t>- 0,792</w:t>
            </w:r>
          </w:p>
          <w:p w14:paraId="6FB3FD31" w14:textId="32A552BC"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- 2,7652</w:t>
            </w:r>
            <w:r>
              <w:rPr>
                <w:rFonts w:ascii="Arial" w:hAnsi="Arial" w:cs="Arial"/>
                <w:sz w:val="20"/>
                <w:szCs w:val="20"/>
              </w:rPr>
              <w:t>]</w:t>
            </w:r>
            <w:r w:rsidR="009D7B59" w:rsidRPr="009D7B59">
              <w:rPr>
                <w:rFonts w:ascii="Arial" w:hAnsi="Arial" w:cs="Arial"/>
                <w:sz w:val="20"/>
                <w:szCs w:val="20"/>
                <w:vertAlign w:val="superscript"/>
              </w:rPr>
              <w:t>(a)</w:t>
            </w:r>
          </w:p>
          <w:p w14:paraId="6EAA3BEB" w14:textId="7AC4EC8E" w:rsidR="009D7B59" w:rsidRPr="002D0203" w:rsidRDefault="009D7B59" w:rsidP="009D7B59">
            <w:pPr>
              <w:jc w:val="center"/>
              <w:rPr>
                <w:rFonts w:ascii="Arial" w:hAnsi="Arial" w:cs="Arial"/>
                <w:sz w:val="20"/>
                <w:szCs w:val="20"/>
              </w:rPr>
            </w:pPr>
          </w:p>
        </w:tc>
        <w:tc>
          <w:tcPr>
            <w:tcW w:w="1355" w:type="dxa"/>
            <w:vAlign w:val="center"/>
          </w:tcPr>
          <w:p w14:paraId="7AC7333B" w14:textId="77777777" w:rsidR="009D7B59" w:rsidRDefault="009D7B59" w:rsidP="009D7B59">
            <w:pPr>
              <w:jc w:val="center"/>
              <w:rPr>
                <w:rFonts w:ascii="Arial" w:hAnsi="Arial" w:cs="Arial"/>
                <w:sz w:val="20"/>
                <w:szCs w:val="20"/>
              </w:rPr>
            </w:pPr>
            <w:r>
              <w:rPr>
                <w:rFonts w:ascii="Arial" w:hAnsi="Arial" w:cs="Arial"/>
                <w:sz w:val="20"/>
                <w:szCs w:val="20"/>
              </w:rPr>
              <w:t>- 0,826</w:t>
            </w:r>
          </w:p>
          <w:p w14:paraId="230F91B0" w14:textId="0BF8C5A3"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- 2,8643</w:t>
            </w:r>
            <w:r>
              <w:rPr>
                <w:rFonts w:ascii="Arial" w:hAnsi="Arial" w:cs="Arial"/>
                <w:sz w:val="20"/>
                <w:szCs w:val="20"/>
              </w:rPr>
              <w:t>]</w:t>
            </w:r>
            <w:r w:rsidR="009D7B59" w:rsidRPr="009D7B59">
              <w:rPr>
                <w:rFonts w:ascii="Arial" w:hAnsi="Arial" w:cs="Arial"/>
                <w:sz w:val="20"/>
                <w:szCs w:val="20"/>
                <w:vertAlign w:val="superscript"/>
              </w:rPr>
              <w:t>(a)</w:t>
            </w:r>
          </w:p>
          <w:p w14:paraId="1915BB8F" w14:textId="75AA586F" w:rsidR="009D7B59" w:rsidRPr="002D0203" w:rsidRDefault="009D7B59" w:rsidP="009D7B59">
            <w:pPr>
              <w:jc w:val="center"/>
              <w:rPr>
                <w:rFonts w:ascii="Arial" w:hAnsi="Arial" w:cs="Arial"/>
                <w:sz w:val="20"/>
                <w:szCs w:val="20"/>
              </w:rPr>
            </w:pPr>
          </w:p>
        </w:tc>
        <w:tc>
          <w:tcPr>
            <w:tcW w:w="1355" w:type="dxa"/>
            <w:vAlign w:val="center"/>
          </w:tcPr>
          <w:p w14:paraId="38A2D7FF" w14:textId="77777777" w:rsidR="009D7B59" w:rsidRDefault="00DF4A2E" w:rsidP="009D7B59">
            <w:pPr>
              <w:jc w:val="center"/>
              <w:rPr>
                <w:rFonts w:ascii="Arial" w:hAnsi="Arial" w:cs="Arial"/>
                <w:sz w:val="20"/>
                <w:szCs w:val="20"/>
              </w:rPr>
            </w:pPr>
            <w:r>
              <w:rPr>
                <w:rFonts w:ascii="Arial" w:hAnsi="Arial" w:cs="Arial"/>
                <w:sz w:val="20"/>
                <w:szCs w:val="20"/>
              </w:rPr>
              <w:t>- 0,806</w:t>
            </w:r>
          </w:p>
          <w:p w14:paraId="0338B934" w14:textId="04BA69E4"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- 2,7898</w:t>
            </w:r>
            <w:r>
              <w:rPr>
                <w:rFonts w:ascii="Arial" w:hAnsi="Arial" w:cs="Arial"/>
                <w:sz w:val="20"/>
                <w:szCs w:val="20"/>
              </w:rPr>
              <w:t>]</w:t>
            </w:r>
            <w:r w:rsidR="00DF4A2E" w:rsidRPr="00DF4A2E">
              <w:rPr>
                <w:rFonts w:ascii="Arial" w:hAnsi="Arial" w:cs="Arial"/>
                <w:sz w:val="20"/>
                <w:szCs w:val="20"/>
                <w:vertAlign w:val="superscript"/>
              </w:rPr>
              <w:t>(a)</w:t>
            </w:r>
          </w:p>
          <w:p w14:paraId="48B4EDBE" w14:textId="68619908" w:rsidR="00DF4A2E" w:rsidRPr="002D0203" w:rsidRDefault="00DF4A2E" w:rsidP="009D7B59">
            <w:pPr>
              <w:jc w:val="center"/>
              <w:rPr>
                <w:rFonts w:ascii="Arial" w:hAnsi="Arial" w:cs="Arial"/>
                <w:sz w:val="20"/>
                <w:szCs w:val="20"/>
              </w:rPr>
            </w:pPr>
          </w:p>
        </w:tc>
        <w:tc>
          <w:tcPr>
            <w:tcW w:w="1356" w:type="dxa"/>
            <w:vAlign w:val="center"/>
          </w:tcPr>
          <w:p w14:paraId="1AA72F67" w14:textId="77777777" w:rsidR="009D7B59" w:rsidRDefault="00DF4A2E" w:rsidP="009D7B59">
            <w:pPr>
              <w:jc w:val="center"/>
              <w:rPr>
                <w:rFonts w:ascii="Arial" w:hAnsi="Arial" w:cs="Arial"/>
                <w:sz w:val="20"/>
                <w:szCs w:val="20"/>
              </w:rPr>
            </w:pPr>
            <w:r>
              <w:rPr>
                <w:rFonts w:ascii="Arial" w:hAnsi="Arial" w:cs="Arial"/>
                <w:sz w:val="20"/>
                <w:szCs w:val="20"/>
              </w:rPr>
              <w:t>- 0,815</w:t>
            </w:r>
          </w:p>
          <w:p w14:paraId="4FD9357C" w14:textId="1D5C145B"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- 2,8333</w:t>
            </w:r>
            <w:r>
              <w:rPr>
                <w:rFonts w:ascii="Arial" w:hAnsi="Arial" w:cs="Arial"/>
                <w:sz w:val="20"/>
                <w:szCs w:val="20"/>
              </w:rPr>
              <w:t>]</w:t>
            </w:r>
            <w:r w:rsidR="00DF4A2E" w:rsidRPr="00DF4A2E">
              <w:rPr>
                <w:rFonts w:ascii="Arial" w:hAnsi="Arial" w:cs="Arial"/>
                <w:sz w:val="20"/>
                <w:szCs w:val="20"/>
                <w:vertAlign w:val="superscript"/>
              </w:rPr>
              <w:t>(a)</w:t>
            </w:r>
          </w:p>
          <w:p w14:paraId="045C8CC3" w14:textId="4679F5D8" w:rsidR="00DF4A2E" w:rsidRPr="002D0203" w:rsidRDefault="00DF4A2E" w:rsidP="009D7B59">
            <w:pPr>
              <w:jc w:val="center"/>
              <w:rPr>
                <w:rFonts w:ascii="Arial" w:hAnsi="Arial" w:cs="Arial"/>
                <w:sz w:val="20"/>
                <w:szCs w:val="20"/>
              </w:rPr>
            </w:pPr>
          </w:p>
        </w:tc>
        <w:tc>
          <w:tcPr>
            <w:tcW w:w="1547" w:type="dxa"/>
            <w:vAlign w:val="center"/>
          </w:tcPr>
          <w:p w14:paraId="6640F25F" w14:textId="77777777" w:rsidR="009D7B59" w:rsidRDefault="003D159F" w:rsidP="009D7B59">
            <w:pPr>
              <w:jc w:val="center"/>
              <w:rPr>
                <w:rFonts w:ascii="Arial" w:hAnsi="Arial" w:cs="Arial"/>
                <w:sz w:val="20"/>
                <w:szCs w:val="20"/>
              </w:rPr>
            </w:pPr>
            <w:r>
              <w:rPr>
                <w:rFonts w:ascii="Arial" w:hAnsi="Arial" w:cs="Arial"/>
                <w:sz w:val="20"/>
                <w:szCs w:val="20"/>
              </w:rPr>
              <w:t>- 0,776</w:t>
            </w:r>
          </w:p>
          <w:p w14:paraId="40E087BD" w14:textId="513E432A" w:rsidR="003D159F"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- 2,6909</w:t>
            </w:r>
            <w:r>
              <w:rPr>
                <w:rFonts w:ascii="Arial" w:hAnsi="Arial" w:cs="Arial"/>
                <w:sz w:val="20"/>
                <w:szCs w:val="20"/>
              </w:rPr>
              <w:t>]</w:t>
            </w:r>
            <w:r w:rsidR="003D159F" w:rsidRPr="003D159F">
              <w:rPr>
                <w:rFonts w:ascii="Arial" w:hAnsi="Arial" w:cs="Arial"/>
                <w:sz w:val="20"/>
                <w:szCs w:val="20"/>
                <w:vertAlign w:val="superscript"/>
              </w:rPr>
              <w:t>(a)</w:t>
            </w:r>
          </w:p>
          <w:p w14:paraId="77087C5F" w14:textId="25E0EC93" w:rsidR="003D159F" w:rsidRPr="002D0203" w:rsidRDefault="003D159F" w:rsidP="009D7B59">
            <w:pPr>
              <w:jc w:val="center"/>
              <w:rPr>
                <w:rFonts w:ascii="Arial" w:hAnsi="Arial" w:cs="Arial"/>
                <w:sz w:val="20"/>
                <w:szCs w:val="20"/>
              </w:rPr>
            </w:pPr>
          </w:p>
        </w:tc>
      </w:tr>
      <w:tr w:rsidR="009D7B59" w14:paraId="4FA90F10" w14:textId="77777777" w:rsidTr="009D7B59">
        <w:tc>
          <w:tcPr>
            <w:tcW w:w="1520" w:type="dxa"/>
            <w:vAlign w:val="center"/>
          </w:tcPr>
          <w:p w14:paraId="3975A578"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An</w:t>
            </w:r>
          </w:p>
        </w:tc>
        <w:tc>
          <w:tcPr>
            <w:tcW w:w="1355" w:type="dxa"/>
            <w:vAlign w:val="center"/>
          </w:tcPr>
          <w:p w14:paraId="0B1901D7" w14:textId="77777777" w:rsidR="009D7B59" w:rsidRDefault="009D7B59" w:rsidP="009D7B59">
            <w:pPr>
              <w:jc w:val="center"/>
              <w:rPr>
                <w:rFonts w:ascii="Arial" w:hAnsi="Arial" w:cs="Arial"/>
                <w:sz w:val="20"/>
                <w:szCs w:val="20"/>
              </w:rPr>
            </w:pPr>
            <w:r>
              <w:rPr>
                <w:rFonts w:ascii="Arial" w:hAnsi="Arial" w:cs="Arial"/>
                <w:sz w:val="20"/>
                <w:szCs w:val="20"/>
              </w:rPr>
              <w:t>0,008</w:t>
            </w:r>
          </w:p>
          <w:p w14:paraId="6F0DEAFB" w14:textId="07891500"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2,5193</w:t>
            </w:r>
            <w:r>
              <w:rPr>
                <w:rFonts w:ascii="Arial" w:hAnsi="Arial" w:cs="Arial"/>
                <w:sz w:val="20"/>
                <w:szCs w:val="20"/>
              </w:rPr>
              <w:t>]</w:t>
            </w:r>
            <w:r w:rsidR="009D7B59" w:rsidRPr="009D7B59">
              <w:rPr>
                <w:rFonts w:ascii="Arial" w:hAnsi="Arial" w:cs="Arial"/>
                <w:sz w:val="20"/>
                <w:szCs w:val="20"/>
                <w:vertAlign w:val="superscript"/>
              </w:rPr>
              <w:t>(b)</w:t>
            </w:r>
          </w:p>
          <w:p w14:paraId="50772DA7" w14:textId="35DCB4B9" w:rsidR="009D7B59" w:rsidRPr="002D0203" w:rsidRDefault="009D7B59" w:rsidP="009D7B59">
            <w:pPr>
              <w:jc w:val="center"/>
              <w:rPr>
                <w:rFonts w:ascii="Arial" w:hAnsi="Arial" w:cs="Arial"/>
                <w:sz w:val="20"/>
                <w:szCs w:val="20"/>
              </w:rPr>
            </w:pPr>
          </w:p>
        </w:tc>
        <w:tc>
          <w:tcPr>
            <w:tcW w:w="1355" w:type="dxa"/>
            <w:vAlign w:val="center"/>
          </w:tcPr>
          <w:p w14:paraId="5C25571D" w14:textId="77777777" w:rsidR="009D7B59" w:rsidRDefault="009D7B59" w:rsidP="009D7B59">
            <w:pPr>
              <w:jc w:val="center"/>
              <w:rPr>
                <w:rFonts w:ascii="Arial" w:hAnsi="Arial" w:cs="Arial"/>
                <w:sz w:val="20"/>
                <w:szCs w:val="20"/>
              </w:rPr>
            </w:pPr>
            <w:r>
              <w:rPr>
                <w:rFonts w:ascii="Arial" w:hAnsi="Arial" w:cs="Arial"/>
                <w:sz w:val="20"/>
                <w:szCs w:val="20"/>
              </w:rPr>
              <w:t>0,009</w:t>
            </w:r>
          </w:p>
          <w:p w14:paraId="641C28BC" w14:textId="18CFFC42"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2,6768</w:t>
            </w:r>
            <w:r>
              <w:rPr>
                <w:rFonts w:ascii="Arial" w:hAnsi="Arial" w:cs="Arial"/>
                <w:sz w:val="20"/>
                <w:szCs w:val="20"/>
              </w:rPr>
              <w:t>]</w:t>
            </w:r>
            <w:r w:rsidR="009D7B59" w:rsidRPr="009D7B59">
              <w:rPr>
                <w:rFonts w:ascii="Arial" w:hAnsi="Arial" w:cs="Arial"/>
                <w:sz w:val="20"/>
                <w:szCs w:val="20"/>
                <w:vertAlign w:val="superscript"/>
              </w:rPr>
              <w:t>(a)</w:t>
            </w:r>
          </w:p>
          <w:p w14:paraId="1612A377" w14:textId="1990D3DB" w:rsidR="009D7B59" w:rsidRPr="002D0203" w:rsidRDefault="009D7B59" w:rsidP="009D7B59">
            <w:pPr>
              <w:jc w:val="center"/>
              <w:rPr>
                <w:rFonts w:ascii="Arial" w:hAnsi="Arial" w:cs="Arial"/>
                <w:sz w:val="20"/>
                <w:szCs w:val="20"/>
              </w:rPr>
            </w:pPr>
          </w:p>
        </w:tc>
        <w:tc>
          <w:tcPr>
            <w:tcW w:w="1355" w:type="dxa"/>
            <w:vAlign w:val="center"/>
          </w:tcPr>
          <w:p w14:paraId="3552802E" w14:textId="77777777" w:rsidR="009D7B59" w:rsidRDefault="00DF4A2E" w:rsidP="009D7B59">
            <w:pPr>
              <w:jc w:val="center"/>
              <w:rPr>
                <w:rFonts w:ascii="Arial" w:hAnsi="Arial" w:cs="Arial"/>
                <w:sz w:val="20"/>
                <w:szCs w:val="20"/>
              </w:rPr>
            </w:pPr>
            <w:r>
              <w:rPr>
                <w:rFonts w:ascii="Arial" w:hAnsi="Arial" w:cs="Arial"/>
                <w:sz w:val="20"/>
                <w:szCs w:val="20"/>
              </w:rPr>
              <w:t>0,009</w:t>
            </w:r>
          </w:p>
          <w:p w14:paraId="7F295567" w14:textId="59CDE289"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2,7554</w:t>
            </w:r>
            <w:r>
              <w:rPr>
                <w:rFonts w:ascii="Arial" w:hAnsi="Arial" w:cs="Arial"/>
                <w:sz w:val="20"/>
                <w:szCs w:val="20"/>
              </w:rPr>
              <w:t>]</w:t>
            </w:r>
            <w:r w:rsidR="00DF4A2E" w:rsidRPr="00DF4A2E">
              <w:rPr>
                <w:rFonts w:ascii="Arial" w:hAnsi="Arial" w:cs="Arial"/>
                <w:sz w:val="20"/>
                <w:szCs w:val="20"/>
                <w:vertAlign w:val="superscript"/>
              </w:rPr>
              <w:t>(a)</w:t>
            </w:r>
          </w:p>
          <w:p w14:paraId="143C6186" w14:textId="41629CE2" w:rsidR="00DF4A2E" w:rsidRPr="002D0203" w:rsidRDefault="00DF4A2E" w:rsidP="009D7B59">
            <w:pPr>
              <w:jc w:val="center"/>
              <w:rPr>
                <w:rFonts w:ascii="Arial" w:hAnsi="Arial" w:cs="Arial"/>
                <w:sz w:val="20"/>
                <w:szCs w:val="20"/>
              </w:rPr>
            </w:pPr>
          </w:p>
        </w:tc>
        <w:tc>
          <w:tcPr>
            <w:tcW w:w="1356" w:type="dxa"/>
            <w:vAlign w:val="center"/>
          </w:tcPr>
          <w:p w14:paraId="49D1CECF" w14:textId="77777777" w:rsidR="009D7B59" w:rsidRDefault="00DF4A2E" w:rsidP="009D7B59">
            <w:pPr>
              <w:jc w:val="center"/>
              <w:rPr>
                <w:rFonts w:ascii="Arial" w:hAnsi="Arial" w:cs="Arial"/>
                <w:sz w:val="20"/>
                <w:szCs w:val="20"/>
              </w:rPr>
            </w:pPr>
            <w:r>
              <w:rPr>
                <w:rFonts w:ascii="Arial" w:hAnsi="Arial" w:cs="Arial"/>
                <w:sz w:val="20"/>
                <w:szCs w:val="20"/>
              </w:rPr>
              <w:t>0,009</w:t>
            </w:r>
          </w:p>
          <w:p w14:paraId="5419D654" w14:textId="0BD75996"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2,6786</w:t>
            </w:r>
            <w:r>
              <w:rPr>
                <w:rFonts w:ascii="Arial" w:hAnsi="Arial" w:cs="Arial"/>
                <w:sz w:val="20"/>
                <w:szCs w:val="20"/>
              </w:rPr>
              <w:t>]</w:t>
            </w:r>
            <w:r w:rsidR="00DF4A2E" w:rsidRPr="00DF4A2E">
              <w:rPr>
                <w:rFonts w:ascii="Arial" w:hAnsi="Arial" w:cs="Arial"/>
                <w:sz w:val="20"/>
                <w:szCs w:val="20"/>
                <w:vertAlign w:val="superscript"/>
              </w:rPr>
              <w:t>(a)</w:t>
            </w:r>
          </w:p>
          <w:p w14:paraId="64466CF7" w14:textId="729B8A69" w:rsidR="00DF4A2E" w:rsidRPr="002D0203" w:rsidRDefault="00DF4A2E" w:rsidP="009D7B59">
            <w:pPr>
              <w:jc w:val="center"/>
              <w:rPr>
                <w:rFonts w:ascii="Arial" w:hAnsi="Arial" w:cs="Arial"/>
                <w:sz w:val="20"/>
                <w:szCs w:val="20"/>
              </w:rPr>
            </w:pPr>
          </w:p>
        </w:tc>
        <w:tc>
          <w:tcPr>
            <w:tcW w:w="1547" w:type="dxa"/>
            <w:vAlign w:val="center"/>
          </w:tcPr>
          <w:p w14:paraId="1644A833" w14:textId="77777777" w:rsidR="009D7B59" w:rsidRDefault="003D159F" w:rsidP="009D7B59">
            <w:pPr>
              <w:jc w:val="center"/>
              <w:rPr>
                <w:rFonts w:ascii="Arial" w:hAnsi="Arial" w:cs="Arial"/>
                <w:sz w:val="20"/>
                <w:szCs w:val="20"/>
              </w:rPr>
            </w:pPr>
            <w:r>
              <w:rPr>
                <w:rFonts w:ascii="Arial" w:hAnsi="Arial" w:cs="Arial"/>
                <w:sz w:val="20"/>
                <w:szCs w:val="20"/>
              </w:rPr>
              <w:t>0,008</w:t>
            </w:r>
          </w:p>
          <w:p w14:paraId="556140E0" w14:textId="629051D0" w:rsidR="003D159F"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2,2791</w:t>
            </w:r>
            <w:r>
              <w:rPr>
                <w:rFonts w:ascii="Arial" w:hAnsi="Arial" w:cs="Arial"/>
                <w:sz w:val="20"/>
                <w:szCs w:val="20"/>
              </w:rPr>
              <w:t>]</w:t>
            </w:r>
            <w:r w:rsidR="003D159F" w:rsidRPr="003D159F">
              <w:rPr>
                <w:rFonts w:ascii="Arial" w:hAnsi="Arial" w:cs="Arial"/>
                <w:sz w:val="20"/>
                <w:szCs w:val="20"/>
                <w:vertAlign w:val="superscript"/>
              </w:rPr>
              <w:t>(b)</w:t>
            </w:r>
          </w:p>
          <w:p w14:paraId="0FD73F6E" w14:textId="0BCD1312" w:rsidR="003D159F" w:rsidRPr="002D0203" w:rsidRDefault="003D159F" w:rsidP="009D7B59">
            <w:pPr>
              <w:jc w:val="center"/>
              <w:rPr>
                <w:rFonts w:ascii="Arial" w:hAnsi="Arial" w:cs="Arial"/>
                <w:sz w:val="20"/>
                <w:szCs w:val="20"/>
              </w:rPr>
            </w:pPr>
          </w:p>
        </w:tc>
      </w:tr>
      <w:tr w:rsidR="009D7B59" w14:paraId="27719260" w14:textId="77777777" w:rsidTr="009D7B59">
        <w:tc>
          <w:tcPr>
            <w:tcW w:w="1520" w:type="dxa"/>
            <w:vAlign w:val="center"/>
          </w:tcPr>
          <w:p w14:paraId="23B3CA2E"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MI</w:t>
            </w:r>
          </w:p>
        </w:tc>
        <w:tc>
          <w:tcPr>
            <w:tcW w:w="1355" w:type="dxa"/>
            <w:vAlign w:val="center"/>
          </w:tcPr>
          <w:p w14:paraId="4ADCA7AD" w14:textId="77777777" w:rsidR="009D7B59" w:rsidRDefault="009D7B59" w:rsidP="009D7B59">
            <w:pPr>
              <w:jc w:val="center"/>
              <w:rPr>
                <w:rFonts w:ascii="Arial" w:hAnsi="Arial" w:cs="Arial"/>
                <w:sz w:val="20"/>
                <w:szCs w:val="20"/>
              </w:rPr>
            </w:pPr>
            <w:r>
              <w:rPr>
                <w:rFonts w:ascii="Arial" w:hAnsi="Arial" w:cs="Arial"/>
                <w:sz w:val="20"/>
                <w:szCs w:val="20"/>
              </w:rPr>
              <w:t>0,005</w:t>
            </w:r>
          </w:p>
          <w:p w14:paraId="76253665" w14:textId="61ACA2D0"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3,3370</w:t>
            </w:r>
            <w:r>
              <w:rPr>
                <w:rFonts w:ascii="Arial" w:hAnsi="Arial" w:cs="Arial"/>
                <w:sz w:val="20"/>
                <w:szCs w:val="20"/>
              </w:rPr>
              <w:t>]</w:t>
            </w:r>
            <w:r w:rsidR="009D7B59" w:rsidRPr="009D7B59">
              <w:rPr>
                <w:rFonts w:ascii="Arial" w:hAnsi="Arial" w:cs="Arial"/>
                <w:sz w:val="20"/>
                <w:szCs w:val="20"/>
                <w:vertAlign w:val="superscript"/>
              </w:rPr>
              <w:t>(a)</w:t>
            </w:r>
          </w:p>
          <w:p w14:paraId="0B819089" w14:textId="6E420776" w:rsidR="009D7B59" w:rsidRPr="002D0203" w:rsidRDefault="009D7B59" w:rsidP="009D7B59">
            <w:pPr>
              <w:jc w:val="center"/>
              <w:rPr>
                <w:rFonts w:ascii="Arial" w:hAnsi="Arial" w:cs="Arial"/>
                <w:sz w:val="20"/>
                <w:szCs w:val="20"/>
              </w:rPr>
            </w:pPr>
          </w:p>
        </w:tc>
        <w:tc>
          <w:tcPr>
            <w:tcW w:w="1355" w:type="dxa"/>
            <w:vAlign w:val="center"/>
          </w:tcPr>
          <w:p w14:paraId="389EFCCE" w14:textId="77777777" w:rsidR="009D7B59" w:rsidRDefault="009D7B59" w:rsidP="009D7B59">
            <w:pPr>
              <w:jc w:val="center"/>
              <w:rPr>
                <w:rFonts w:ascii="Arial" w:hAnsi="Arial" w:cs="Arial"/>
                <w:sz w:val="20"/>
                <w:szCs w:val="20"/>
              </w:rPr>
            </w:pPr>
            <w:r>
              <w:rPr>
                <w:rFonts w:ascii="Arial" w:hAnsi="Arial" w:cs="Arial"/>
                <w:sz w:val="20"/>
                <w:szCs w:val="20"/>
              </w:rPr>
              <w:t>0,005</w:t>
            </w:r>
          </w:p>
          <w:p w14:paraId="4A6727A7" w14:textId="05A3FC98"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3,4646</w:t>
            </w:r>
            <w:r>
              <w:rPr>
                <w:rFonts w:ascii="Arial" w:hAnsi="Arial" w:cs="Arial"/>
                <w:sz w:val="20"/>
                <w:szCs w:val="20"/>
              </w:rPr>
              <w:t>]</w:t>
            </w:r>
            <w:r w:rsidR="009D7B59" w:rsidRPr="009D7B59">
              <w:rPr>
                <w:rFonts w:ascii="Arial" w:hAnsi="Arial" w:cs="Arial"/>
                <w:sz w:val="20"/>
                <w:szCs w:val="20"/>
                <w:vertAlign w:val="superscript"/>
              </w:rPr>
              <w:t>(a)</w:t>
            </w:r>
          </w:p>
          <w:p w14:paraId="05BDDB0F" w14:textId="75E41784" w:rsidR="009D7B59" w:rsidRPr="002D0203" w:rsidRDefault="009D7B59" w:rsidP="009D7B59">
            <w:pPr>
              <w:jc w:val="center"/>
              <w:rPr>
                <w:rFonts w:ascii="Arial" w:hAnsi="Arial" w:cs="Arial"/>
                <w:sz w:val="20"/>
                <w:szCs w:val="20"/>
              </w:rPr>
            </w:pPr>
          </w:p>
        </w:tc>
        <w:tc>
          <w:tcPr>
            <w:tcW w:w="1355" w:type="dxa"/>
            <w:vAlign w:val="center"/>
          </w:tcPr>
          <w:p w14:paraId="47B8DBAA" w14:textId="77777777" w:rsidR="009D7B59" w:rsidRDefault="00DF4A2E" w:rsidP="009D7B59">
            <w:pPr>
              <w:jc w:val="center"/>
              <w:rPr>
                <w:rFonts w:ascii="Arial" w:hAnsi="Arial" w:cs="Arial"/>
                <w:sz w:val="20"/>
                <w:szCs w:val="20"/>
              </w:rPr>
            </w:pPr>
            <w:r>
              <w:rPr>
                <w:rFonts w:ascii="Arial" w:hAnsi="Arial" w:cs="Arial"/>
                <w:sz w:val="20"/>
                <w:szCs w:val="20"/>
              </w:rPr>
              <w:t>0,005</w:t>
            </w:r>
          </w:p>
          <w:p w14:paraId="10D50C2A" w14:textId="3C8F3C5F"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3,1647</w:t>
            </w:r>
            <w:r>
              <w:rPr>
                <w:rFonts w:ascii="Arial" w:hAnsi="Arial" w:cs="Arial"/>
                <w:sz w:val="20"/>
                <w:szCs w:val="20"/>
              </w:rPr>
              <w:t>]</w:t>
            </w:r>
            <w:r>
              <w:rPr>
                <w:rFonts w:ascii="Arial" w:hAnsi="Arial" w:cs="Arial"/>
                <w:sz w:val="20"/>
                <w:szCs w:val="20"/>
                <w:vertAlign w:val="superscript"/>
              </w:rPr>
              <w:t>(</w:t>
            </w:r>
            <w:r w:rsidR="00DF4A2E" w:rsidRPr="00DF4A2E">
              <w:rPr>
                <w:rFonts w:ascii="Arial" w:hAnsi="Arial" w:cs="Arial"/>
                <w:sz w:val="20"/>
                <w:szCs w:val="20"/>
                <w:vertAlign w:val="superscript"/>
              </w:rPr>
              <w:t>a)</w:t>
            </w:r>
          </w:p>
          <w:p w14:paraId="23F58580" w14:textId="67505B8D" w:rsidR="00DF4A2E" w:rsidRPr="002D0203" w:rsidRDefault="00DF4A2E" w:rsidP="009D7B59">
            <w:pPr>
              <w:jc w:val="center"/>
              <w:rPr>
                <w:rFonts w:ascii="Arial" w:hAnsi="Arial" w:cs="Arial"/>
                <w:sz w:val="20"/>
                <w:szCs w:val="20"/>
              </w:rPr>
            </w:pPr>
          </w:p>
        </w:tc>
        <w:tc>
          <w:tcPr>
            <w:tcW w:w="1356" w:type="dxa"/>
            <w:vAlign w:val="center"/>
          </w:tcPr>
          <w:p w14:paraId="2BC37F08" w14:textId="77777777" w:rsidR="009D7B59" w:rsidRDefault="00DF4A2E" w:rsidP="009D7B59">
            <w:pPr>
              <w:jc w:val="center"/>
              <w:rPr>
                <w:rFonts w:ascii="Arial" w:hAnsi="Arial" w:cs="Arial"/>
                <w:sz w:val="20"/>
                <w:szCs w:val="20"/>
              </w:rPr>
            </w:pPr>
            <w:r>
              <w:rPr>
                <w:rFonts w:ascii="Arial" w:hAnsi="Arial" w:cs="Arial"/>
                <w:sz w:val="20"/>
                <w:szCs w:val="20"/>
              </w:rPr>
              <w:t>0,005</w:t>
            </w:r>
          </w:p>
          <w:p w14:paraId="7407D81D" w14:textId="0AC353AE" w:rsidR="00DF4A2E"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3,4247</w:t>
            </w:r>
            <w:r>
              <w:rPr>
                <w:rFonts w:ascii="Arial" w:hAnsi="Arial" w:cs="Arial"/>
                <w:sz w:val="20"/>
                <w:szCs w:val="20"/>
              </w:rPr>
              <w:t>]</w:t>
            </w:r>
            <w:r w:rsidR="00DF4A2E" w:rsidRPr="00DF4A2E">
              <w:rPr>
                <w:rFonts w:ascii="Arial" w:hAnsi="Arial" w:cs="Arial"/>
                <w:sz w:val="20"/>
                <w:szCs w:val="20"/>
                <w:vertAlign w:val="superscript"/>
              </w:rPr>
              <w:t>(a)</w:t>
            </w:r>
          </w:p>
          <w:p w14:paraId="2A0886DC" w14:textId="2621A6C7" w:rsidR="00DF4A2E" w:rsidRPr="002D0203" w:rsidRDefault="00DF4A2E" w:rsidP="009D7B59">
            <w:pPr>
              <w:jc w:val="center"/>
              <w:rPr>
                <w:rFonts w:ascii="Arial" w:hAnsi="Arial" w:cs="Arial"/>
                <w:sz w:val="20"/>
                <w:szCs w:val="20"/>
              </w:rPr>
            </w:pPr>
          </w:p>
        </w:tc>
        <w:tc>
          <w:tcPr>
            <w:tcW w:w="1547" w:type="dxa"/>
            <w:vAlign w:val="center"/>
          </w:tcPr>
          <w:p w14:paraId="0E5CED9A" w14:textId="77777777" w:rsidR="009D7B59" w:rsidRDefault="003D159F" w:rsidP="009D7B59">
            <w:pPr>
              <w:jc w:val="center"/>
              <w:rPr>
                <w:rFonts w:ascii="Arial" w:hAnsi="Arial" w:cs="Arial"/>
                <w:sz w:val="20"/>
                <w:szCs w:val="20"/>
              </w:rPr>
            </w:pPr>
            <w:r>
              <w:rPr>
                <w:rFonts w:ascii="Arial" w:hAnsi="Arial" w:cs="Arial"/>
                <w:sz w:val="20"/>
                <w:szCs w:val="20"/>
              </w:rPr>
              <w:t>0,004</w:t>
            </w:r>
          </w:p>
          <w:p w14:paraId="461EFEAB" w14:textId="4D1F17CD" w:rsidR="003D159F"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3,1268</w:t>
            </w:r>
            <w:r>
              <w:rPr>
                <w:rFonts w:ascii="Arial" w:hAnsi="Arial" w:cs="Arial"/>
                <w:sz w:val="20"/>
                <w:szCs w:val="20"/>
              </w:rPr>
              <w:t>]</w:t>
            </w:r>
            <w:r w:rsidR="003D159F" w:rsidRPr="003D159F">
              <w:rPr>
                <w:rFonts w:ascii="Arial" w:hAnsi="Arial" w:cs="Arial"/>
                <w:sz w:val="20"/>
                <w:szCs w:val="20"/>
                <w:vertAlign w:val="superscript"/>
              </w:rPr>
              <w:t>(a)</w:t>
            </w:r>
          </w:p>
          <w:p w14:paraId="2D8D7942" w14:textId="3A0AA9C0" w:rsidR="003D159F" w:rsidRPr="002D0203" w:rsidRDefault="003D159F" w:rsidP="009D7B59">
            <w:pPr>
              <w:jc w:val="center"/>
              <w:rPr>
                <w:rFonts w:ascii="Arial" w:hAnsi="Arial" w:cs="Arial"/>
                <w:sz w:val="20"/>
                <w:szCs w:val="20"/>
              </w:rPr>
            </w:pPr>
          </w:p>
        </w:tc>
      </w:tr>
      <w:tr w:rsidR="009D7B59" w14:paraId="23A7C174" w14:textId="77777777" w:rsidTr="009D7B59">
        <w:tc>
          <w:tcPr>
            <w:tcW w:w="1520" w:type="dxa"/>
            <w:vAlign w:val="center"/>
          </w:tcPr>
          <w:p w14:paraId="4B092598" w14:textId="77777777" w:rsidR="009D7B59" w:rsidRPr="002D0203" w:rsidRDefault="009D7B59" w:rsidP="009D7B59">
            <w:pPr>
              <w:spacing w:line="360" w:lineRule="auto"/>
              <w:jc w:val="both"/>
              <w:rPr>
                <w:rFonts w:ascii="Arial" w:hAnsi="Arial" w:cs="Arial"/>
                <w:sz w:val="20"/>
                <w:szCs w:val="20"/>
              </w:rPr>
            </w:pPr>
            <w:r w:rsidRPr="002D0203">
              <w:rPr>
                <w:rFonts w:ascii="Arial" w:hAnsi="Arial" w:cs="Arial"/>
                <w:sz w:val="20"/>
                <w:szCs w:val="20"/>
              </w:rPr>
              <w:t>Hom</w:t>
            </w:r>
          </w:p>
        </w:tc>
        <w:tc>
          <w:tcPr>
            <w:tcW w:w="1355" w:type="dxa"/>
            <w:vAlign w:val="center"/>
          </w:tcPr>
          <w:p w14:paraId="537928DD" w14:textId="77777777" w:rsidR="009D7B59" w:rsidRDefault="009D7B59" w:rsidP="009D7B59">
            <w:pPr>
              <w:jc w:val="center"/>
              <w:rPr>
                <w:rFonts w:ascii="Arial" w:hAnsi="Arial" w:cs="Arial"/>
                <w:sz w:val="20"/>
                <w:szCs w:val="20"/>
              </w:rPr>
            </w:pPr>
            <w:r>
              <w:rPr>
                <w:rFonts w:ascii="Arial" w:hAnsi="Arial" w:cs="Arial"/>
                <w:sz w:val="20"/>
                <w:szCs w:val="20"/>
              </w:rPr>
              <w:t>0,001</w:t>
            </w:r>
          </w:p>
          <w:p w14:paraId="1A43317F" w14:textId="1BAC825C"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1,0387</w:t>
            </w:r>
            <w:r>
              <w:rPr>
                <w:rFonts w:ascii="Arial" w:hAnsi="Arial" w:cs="Arial"/>
                <w:sz w:val="20"/>
                <w:szCs w:val="20"/>
              </w:rPr>
              <w:t>]</w:t>
            </w:r>
          </w:p>
          <w:p w14:paraId="37AD1B8D" w14:textId="651964F7" w:rsidR="009D7B59" w:rsidRPr="002D0203" w:rsidRDefault="009D7B59" w:rsidP="009D7B59">
            <w:pPr>
              <w:jc w:val="center"/>
              <w:rPr>
                <w:rFonts w:ascii="Arial" w:hAnsi="Arial" w:cs="Arial"/>
                <w:sz w:val="20"/>
                <w:szCs w:val="20"/>
              </w:rPr>
            </w:pPr>
          </w:p>
        </w:tc>
        <w:tc>
          <w:tcPr>
            <w:tcW w:w="1355" w:type="dxa"/>
            <w:vAlign w:val="center"/>
          </w:tcPr>
          <w:p w14:paraId="39E036BF" w14:textId="77777777" w:rsidR="009D7B59" w:rsidRDefault="009D7B59" w:rsidP="009D7B59">
            <w:pPr>
              <w:jc w:val="center"/>
              <w:rPr>
                <w:rFonts w:ascii="Arial" w:hAnsi="Arial" w:cs="Arial"/>
                <w:sz w:val="20"/>
                <w:szCs w:val="20"/>
              </w:rPr>
            </w:pPr>
            <w:r>
              <w:rPr>
                <w:rFonts w:ascii="Arial" w:hAnsi="Arial" w:cs="Arial"/>
                <w:sz w:val="20"/>
                <w:szCs w:val="20"/>
              </w:rPr>
              <w:t>0,001</w:t>
            </w:r>
          </w:p>
          <w:p w14:paraId="753502B0" w14:textId="7B0094EA" w:rsidR="009D7B59" w:rsidRDefault="003343E0" w:rsidP="009D7B59">
            <w:pPr>
              <w:jc w:val="center"/>
              <w:rPr>
                <w:rFonts w:ascii="Arial" w:hAnsi="Arial" w:cs="Arial"/>
                <w:sz w:val="20"/>
                <w:szCs w:val="20"/>
              </w:rPr>
            </w:pPr>
            <w:r>
              <w:rPr>
                <w:rFonts w:ascii="Arial" w:hAnsi="Arial" w:cs="Arial"/>
                <w:sz w:val="20"/>
                <w:szCs w:val="20"/>
              </w:rPr>
              <w:t>[</w:t>
            </w:r>
            <w:r w:rsidR="00396B14">
              <w:rPr>
                <w:rFonts w:ascii="Arial" w:hAnsi="Arial" w:cs="Arial"/>
                <w:sz w:val="20"/>
                <w:szCs w:val="20"/>
              </w:rPr>
              <w:t>0,7558</w:t>
            </w:r>
            <w:r>
              <w:rPr>
                <w:rFonts w:ascii="Arial" w:hAnsi="Arial" w:cs="Arial"/>
                <w:sz w:val="20"/>
                <w:szCs w:val="20"/>
              </w:rPr>
              <w:t>]</w:t>
            </w:r>
          </w:p>
          <w:p w14:paraId="186EDBD9" w14:textId="339BA5D1" w:rsidR="009D7B59" w:rsidRPr="002D0203" w:rsidRDefault="009D7B59" w:rsidP="009D7B59">
            <w:pPr>
              <w:jc w:val="center"/>
              <w:rPr>
                <w:rFonts w:ascii="Arial" w:hAnsi="Arial" w:cs="Arial"/>
                <w:sz w:val="20"/>
                <w:szCs w:val="20"/>
              </w:rPr>
            </w:pPr>
          </w:p>
        </w:tc>
        <w:tc>
          <w:tcPr>
            <w:tcW w:w="1355" w:type="dxa"/>
            <w:vAlign w:val="center"/>
          </w:tcPr>
          <w:p w14:paraId="4AAE52DD" w14:textId="77777777" w:rsidR="009D7B59" w:rsidRDefault="00DF4A2E" w:rsidP="009D7B59">
            <w:pPr>
              <w:jc w:val="center"/>
              <w:rPr>
                <w:rFonts w:ascii="Arial" w:hAnsi="Arial" w:cs="Arial"/>
                <w:sz w:val="20"/>
                <w:szCs w:val="20"/>
              </w:rPr>
            </w:pPr>
            <w:r>
              <w:rPr>
                <w:rFonts w:ascii="Arial" w:hAnsi="Arial" w:cs="Arial"/>
                <w:sz w:val="20"/>
                <w:szCs w:val="20"/>
              </w:rPr>
              <w:t>0,001</w:t>
            </w:r>
          </w:p>
          <w:p w14:paraId="239EB1DE" w14:textId="0BF15D1F" w:rsidR="00DF4A2E" w:rsidRDefault="003343E0" w:rsidP="009D7B59">
            <w:pPr>
              <w:jc w:val="center"/>
              <w:rPr>
                <w:rFonts w:ascii="Arial" w:hAnsi="Arial" w:cs="Arial"/>
                <w:sz w:val="20"/>
                <w:szCs w:val="20"/>
              </w:rPr>
            </w:pPr>
            <w:r>
              <w:rPr>
                <w:rFonts w:ascii="Arial" w:hAnsi="Arial" w:cs="Arial"/>
                <w:sz w:val="20"/>
                <w:szCs w:val="20"/>
              </w:rPr>
              <w:t>[</w:t>
            </w:r>
            <w:r w:rsidR="00DF4A2E">
              <w:rPr>
                <w:rFonts w:ascii="Arial" w:hAnsi="Arial" w:cs="Arial"/>
                <w:sz w:val="20"/>
                <w:szCs w:val="20"/>
              </w:rPr>
              <w:t>0,</w:t>
            </w:r>
            <w:r w:rsidR="00C93F50">
              <w:rPr>
                <w:rFonts w:ascii="Arial" w:hAnsi="Arial" w:cs="Arial"/>
                <w:sz w:val="20"/>
                <w:szCs w:val="20"/>
              </w:rPr>
              <w:t>6586</w:t>
            </w:r>
            <w:r>
              <w:rPr>
                <w:rFonts w:ascii="Arial" w:hAnsi="Arial" w:cs="Arial"/>
                <w:sz w:val="20"/>
                <w:szCs w:val="20"/>
              </w:rPr>
              <w:t>]</w:t>
            </w:r>
          </w:p>
          <w:p w14:paraId="3C4079FA" w14:textId="7F38082D" w:rsidR="00DF4A2E" w:rsidRPr="002D0203" w:rsidRDefault="00DF4A2E" w:rsidP="009D7B59">
            <w:pPr>
              <w:jc w:val="center"/>
              <w:rPr>
                <w:rFonts w:ascii="Arial" w:hAnsi="Arial" w:cs="Arial"/>
                <w:sz w:val="20"/>
                <w:szCs w:val="20"/>
              </w:rPr>
            </w:pPr>
          </w:p>
        </w:tc>
        <w:tc>
          <w:tcPr>
            <w:tcW w:w="1356" w:type="dxa"/>
            <w:vAlign w:val="center"/>
          </w:tcPr>
          <w:p w14:paraId="409C5C7A" w14:textId="77777777" w:rsidR="009D7B59" w:rsidRDefault="00DF4A2E" w:rsidP="009D7B59">
            <w:pPr>
              <w:jc w:val="center"/>
              <w:rPr>
                <w:rFonts w:ascii="Arial" w:hAnsi="Arial" w:cs="Arial"/>
                <w:sz w:val="20"/>
                <w:szCs w:val="20"/>
              </w:rPr>
            </w:pPr>
            <w:r>
              <w:rPr>
                <w:rFonts w:ascii="Arial" w:hAnsi="Arial" w:cs="Arial"/>
                <w:sz w:val="20"/>
                <w:szCs w:val="20"/>
              </w:rPr>
              <w:t>0,001</w:t>
            </w:r>
          </w:p>
          <w:p w14:paraId="0BD43F78" w14:textId="7A57AE51" w:rsidR="00DF4A2E" w:rsidRDefault="003343E0" w:rsidP="009D7B59">
            <w:pPr>
              <w:jc w:val="center"/>
              <w:rPr>
                <w:rFonts w:ascii="Arial" w:hAnsi="Arial" w:cs="Arial"/>
                <w:sz w:val="20"/>
                <w:szCs w:val="20"/>
              </w:rPr>
            </w:pPr>
            <w:r>
              <w:rPr>
                <w:rFonts w:ascii="Arial" w:hAnsi="Arial" w:cs="Arial"/>
                <w:sz w:val="20"/>
                <w:szCs w:val="20"/>
              </w:rPr>
              <w:t>[</w:t>
            </w:r>
            <w:r w:rsidR="00DF4A2E">
              <w:rPr>
                <w:rFonts w:ascii="Arial" w:hAnsi="Arial" w:cs="Arial"/>
                <w:sz w:val="20"/>
                <w:szCs w:val="20"/>
              </w:rPr>
              <w:t>0,</w:t>
            </w:r>
            <w:r w:rsidR="00C93F50">
              <w:rPr>
                <w:rFonts w:ascii="Arial" w:hAnsi="Arial" w:cs="Arial"/>
                <w:sz w:val="20"/>
                <w:szCs w:val="20"/>
              </w:rPr>
              <w:t>8845</w:t>
            </w:r>
            <w:r>
              <w:rPr>
                <w:rFonts w:ascii="Arial" w:hAnsi="Arial" w:cs="Arial"/>
                <w:sz w:val="20"/>
                <w:szCs w:val="20"/>
              </w:rPr>
              <w:t>]</w:t>
            </w:r>
          </w:p>
          <w:p w14:paraId="5D20CF42" w14:textId="18B250D8" w:rsidR="00DF4A2E" w:rsidRPr="002D0203" w:rsidRDefault="00DF4A2E" w:rsidP="009D7B59">
            <w:pPr>
              <w:jc w:val="center"/>
              <w:rPr>
                <w:rFonts w:ascii="Arial" w:hAnsi="Arial" w:cs="Arial"/>
                <w:sz w:val="20"/>
                <w:szCs w:val="20"/>
              </w:rPr>
            </w:pPr>
          </w:p>
        </w:tc>
        <w:tc>
          <w:tcPr>
            <w:tcW w:w="1547" w:type="dxa"/>
            <w:vAlign w:val="center"/>
          </w:tcPr>
          <w:p w14:paraId="7D8FC9DD" w14:textId="77777777" w:rsidR="009D7B59" w:rsidRDefault="003D159F" w:rsidP="009D7B59">
            <w:pPr>
              <w:jc w:val="center"/>
              <w:rPr>
                <w:rFonts w:ascii="Arial" w:hAnsi="Arial" w:cs="Arial"/>
                <w:sz w:val="20"/>
                <w:szCs w:val="20"/>
              </w:rPr>
            </w:pPr>
            <w:r>
              <w:rPr>
                <w:rFonts w:ascii="Arial" w:hAnsi="Arial" w:cs="Arial"/>
                <w:sz w:val="20"/>
                <w:szCs w:val="20"/>
              </w:rPr>
              <w:t>0,001</w:t>
            </w:r>
          </w:p>
          <w:p w14:paraId="0246B164" w14:textId="4BE89A19" w:rsidR="003D159F" w:rsidRDefault="003343E0" w:rsidP="009D7B59">
            <w:pPr>
              <w:jc w:val="center"/>
              <w:rPr>
                <w:rFonts w:ascii="Arial" w:hAnsi="Arial" w:cs="Arial"/>
                <w:sz w:val="20"/>
                <w:szCs w:val="20"/>
              </w:rPr>
            </w:pPr>
            <w:r>
              <w:rPr>
                <w:rFonts w:ascii="Arial" w:hAnsi="Arial" w:cs="Arial"/>
                <w:sz w:val="20"/>
                <w:szCs w:val="20"/>
              </w:rPr>
              <w:t>[</w:t>
            </w:r>
            <w:r w:rsidR="00C93F50">
              <w:rPr>
                <w:rFonts w:ascii="Arial" w:hAnsi="Arial" w:cs="Arial"/>
                <w:sz w:val="20"/>
                <w:szCs w:val="20"/>
              </w:rPr>
              <w:t>0,9835</w:t>
            </w:r>
            <w:r>
              <w:rPr>
                <w:rFonts w:ascii="Arial" w:hAnsi="Arial" w:cs="Arial"/>
                <w:sz w:val="20"/>
                <w:szCs w:val="20"/>
              </w:rPr>
              <w:t>]</w:t>
            </w:r>
          </w:p>
          <w:p w14:paraId="65C72372" w14:textId="36B614BF" w:rsidR="003343E0" w:rsidRPr="002D0203" w:rsidRDefault="003343E0" w:rsidP="009D7B59">
            <w:pPr>
              <w:jc w:val="center"/>
              <w:rPr>
                <w:rFonts w:ascii="Arial" w:hAnsi="Arial" w:cs="Arial"/>
                <w:sz w:val="20"/>
                <w:szCs w:val="20"/>
              </w:rPr>
            </w:pPr>
          </w:p>
        </w:tc>
      </w:tr>
      <w:tr w:rsidR="009D7B59" w14:paraId="06F3A5FC" w14:textId="77777777" w:rsidTr="009D7B59">
        <w:tc>
          <w:tcPr>
            <w:tcW w:w="1520" w:type="dxa"/>
            <w:vAlign w:val="center"/>
          </w:tcPr>
          <w:p w14:paraId="75B54E56" w14:textId="336EA8A2" w:rsidR="009D7B59" w:rsidRPr="002D0203" w:rsidRDefault="009D7B59" w:rsidP="009D7B59">
            <w:pPr>
              <w:spacing w:line="360" w:lineRule="auto"/>
              <w:jc w:val="both"/>
              <w:rPr>
                <w:rFonts w:ascii="Arial" w:hAnsi="Arial" w:cs="Arial"/>
                <w:sz w:val="20"/>
                <w:szCs w:val="20"/>
              </w:rPr>
            </w:pPr>
            <w:r>
              <w:rPr>
                <w:rFonts w:ascii="Arial" w:hAnsi="Arial" w:cs="Arial"/>
                <w:sz w:val="20"/>
                <w:szCs w:val="20"/>
              </w:rPr>
              <w:t>AL – C</w:t>
            </w:r>
          </w:p>
        </w:tc>
        <w:tc>
          <w:tcPr>
            <w:tcW w:w="1355" w:type="dxa"/>
            <w:vAlign w:val="center"/>
          </w:tcPr>
          <w:p w14:paraId="77D6D89D" w14:textId="77777777" w:rsidR="009D7B59" w:rsidRDefault="009D7B59" w:rsidP="009D7B59">
            <w:pPr>
              <w:jc w:val="center"/>
              <w:rPr>
                <w:rFonts w:ascii="Arial" w:hAnsi="Arial" w:cs="Arial"/>
                <w:sz w:val="20"/>
                <w:szCs w:val="20"/>
              </w:rPr>
            </w:pPr>
            <w:r>
              <w:rPr>
                <w:rFonts w:ascii="Arial" w:hAnsi="Arial" w:cs="Arial"/>
                <w:sz w:val="20"/>
                <w:szCs w:val="20"/>
              </w:rPr>
              <w:t>0,019</w:t>
            </w:r>
          </w:p>
          <w:p w14:paraId="431EFC79" w14:textId="1ECE9FD8" w:rsidR="009D7B59" w:rsidRDefault="009D7B59" w:rsidP="009D7B59">
            <w:pPr>
              <w:jc w:val="center"/>
              <w:rPr>
                <w:rFonts w:ascii="Arial" w:hAnsi="Arial" w:cs="Arial"/>
                <w:sz w:val="20"/>
                <w:szCs w:val="20"/>
              </w:rPr>
            </w:pPr>
          </w:p>
        </w:tc>
        <w:tc>
          <w:tcPr>
            <w:tcW w:w="1355" w:type="dxa"/>
            <w:vAlign w:val="center"/>
          </w:tcPr>
          <w:p w14:paraId="4DAFB619" w14:textId="77777777" w:rsidR="009D7B59" w:rsidRDefault="009D7B59" w:rsidP="009D7B59">
            <w:pPr>
              <w:jc w:val="center"/>
              <w:rPr>
                <w:rFonts w:ascii="Arial" w:hAnsi="Arial" w:cs="Arial"/>
                <w:sz w:val="20"/>
                <w:szCs w:val="20"/>
              </w:rPr>
            </w:pPr>
            <w:r>
              <w:rPr>
                <w:rFonts w:ascii="Arial" w:hAnsi="Arial" w:cs="Arial"/>
                <w:sz w:val="20"/>
                <w:szCs w:val="20"/>
              </w:rPr>
              <w:t>- 0,052</w:t>
            </w:r>
          </w:p>
          <w:p w14:paraId="27D77A38" w14:textId="15FE0919" w:rsidR="009D7B59" w:rsidRPr="002D0203" w:rsidRDefault="009D7B59" w:rsidP="009D7B59">
            <w:pPr>
              <w:jc w:val="center"/>
              <w:rPr>
                <w:rFonts w:ascii="Arial" w:hAnsi="Arial" w:cs="Arial"/>
                <w:sz w:val="20"/>
                <w:szCs w:val="20"/>
              </w:rPr>
            </w:pPr>
          </w:p>
        </w:tc>
        <w:tc>
          <w:tcPr>
            <w:tcW w:w="1355" w:type="dxa"/>
            <w:vAlign w:val="center"/>
          </w:tcPr>
          <w:p w14:paraId="5C0E09D0" w14:textId="77777777" w:rsidR="009D7B59" w:rsidRDefault="00DF4A2E" w:rsidP="009D7B59">
            <w:pPr>
              <w:jc w:val="center"/>
              <w:rPr>
                <w:rFonts w:ascii="Arial" w:hAnsi="Arial" w:cs="Arial"/>
                <w:sz w:val="20"/>
                <w:szCs w:val="20"/>
              </w:rPr>
            </w:pPr>
            <w:r>
              <w:rPr>
                <w:rFonts w:ascii="Arial" w:hAnsi="Arial" w:cs="Arial"/>
                <w:sz w:val="20"/>
                <w:szCs w:val="20"/>
              </w:rPr>
              <w:t>- 0,057</w:t>
            </w:r>
          </w:p>
          <w:p w14:paraId="7BB912D2" w14:textId="26E937CA" w:rsidR="00DF4A2E" w:rsidRPr="002D0203" w:rsidRDefault="00DF4A2E" w:rsidP="009D7B59">
            <w:pPr>
              <w:jc w:val="center"/>
              <w:rPr>
                <w:rFonts w:ascii="Arial" w:hAnsi="Arial" w:cs="Arial"/>
                <w:sz w:val="20"/>
                <w:szCs w:val="20"/>
              </w:rPr>
            </w:pPr>
          </w:p>
        </w:tc>
        <w:tc>
          <w:tcPr>
            <w:tcW w:w="1356" w:type="dxa"/>
            <w:vAlign w:val="center"/>
          </w:tcPr>
          <w:p w14:paraId="58EB916F" w14:textId="77777777" w:rsidR="009D7B59" w:rsidRDefault="00DF4A2E" w:rsidP="009D7B59">
            <w:pPr>
              <w:jc w:val="center"/>
              <w:rPr>
                <w:rFonts w:ascii="Arial" w:hAnsi="Arial" w:cs="Arial"/>
                <w:sz w:val="20"/>
                <w:szCs w:val="20"/>
              </w:rPr>
            </w:pPr>
            <w:r>
              <w:rPr>
                <w:rFonts w:ascii="Arial" w:hAnsi="Arial" w:cs="Arial"/>
                <w:sz w:val="20"/>
                <w:szCs w:val="20"/>
              </w:rPr>
              <w:t>- 0,024</w:t>
            </w:r>
          </w:p>
          <w:p w14:paraId="48E70B23" w14:textId="69B82836" w:rsidR="00DF4A2E" w:rsidRPr="002D0203" w:rsidRDefault="00DF4A2E" w:rsidP="009D7B59">
            <w:pPr>
              <w:jc w:val="center"/>
              <w:rPr>
                <w:rFonts w:ascii="Arial" w:hAnsi="Arial" w:cs="Arial"/>
                <w:sz w:val="20"/>
                <w:szCs w:val="20"/>
              </w:rPr>
            </w:pPr>
          </w:p>
        </w:tc>
        <w:tc>
          <w:tcPr>
            <w:tcW w:w="1547" w:type="dxa"/>
            <w:vAlign w:val="center"/>
          </w:tcPr>
          <w:p w14:paraId="4632EE70" w14:textId="77777777" w:rsidR="009D7B59" w:rsidRDefault="003D159F" w:rsidP="009D7B59">
            <w:pPr>
              <w:jc w:val="center"/>
              <w:rPr>
                <w:rFonts w:ascii="Arial" w:hAnsi="Arial" w:cs="Arial"/>
                <w:sz w:val="20"/>
                <w:szCs w:val="20"/>
              </w:rPr>
            </w:pPr>
            <w:r>
              <w:rPr>
                <w:rFonts w:ascii="Arial" w:hAnsi="Arial" w:cs="Arial"/>
                <w:sz w:val="20"/>
                <w:szCs w:val="20"/>
              </w:rPr>
              <w:t>0,026</w:t>
            </w:r>
          </w:p>
          <w:p w14:paraId="27947FB2" w14:textId="1055C9FF" w:rsidR="003D159F" w:rsidRPr="002D0203" w:rsidRDefault="003D159F" w:rsidP="009D7B59">
            <w:pPr>
              <w:jc w:val="center"/>
              <w:rPr>
                <w:rFonts w:ascii="Arial" w:hAnsi="Arial" w:cs="Arial"/>
                <w:sz w:val="20"/>
                <w:szCs w:val="20"/>
              </w:rPr>
            </w:pPr>
          </w:p>
        </w:tc>
      </w:tr>
      <w:tr w:rsidR="009D7B59" w14:paraId="2AF4A1FF" w14:textId="77777777" w:rsidTr="009D7B59">
        <w:tc>
          <w:tcPr>
            <w:tcW w:w="1520" w:type="dxa"/>
            <w:vAlign w:val="center"/>
          </w:tcPr>
          <w:p w14:paraId="4C33719D" w14:textId="298807C2" w:rsidR="009D7B59" w:rsidRPr="002D0203" w:rsidRDefault="009D7B59" w:rsidP="009D7B59">
            <w:pPr>
              <w:spacing w:line="360" w:lineRule="auto"/>
              <w:jc w:val="both"/>
              <w:rPr>
                <w:rFonts w:ascii="Arial" w:hAnsi="Arial" w:cs="Arial"/>
                <w:sz w:val="20"/>
                <w:szCs w:val="20"/>
              </w:rPr>
            </w:pPr>
            <w:r>
              <w:rPr>
                <w:rFonts w:ascii="Arial" w:hAnsi="Arial" w:cs="Arial"/>
                <w:sz w:val="20"/>
                <w:szCs w:val="20"/>
              </w:rPr>
              <w:t>BA – C</w:t>
            </w:r>
          </w:p>
        </w:tc>
        <w:tc>
          <w:tcPr>
            <w:tcW w:w="1355" w:type="dxa"/>
            <w:vAlign w:val="center"/>
          </w:tcPr>
          <w:p w14:paraId="1F1A9DF4" w14:textId="77777777" w:rsidR="009D7B59" w:rsidRDefault="009D7B59" w:rsidP="009D7B59">
            <w:pPr>
              <w:jc w:val="center"/>
              <w:rPr>
                <w:rFonts w:ascii="Arial" w:hAnsi="Arial" w:cs="Arial"/>
                <w:sz w:val="20"/>
                <w:szCs w:val="20"/>
              </w:rPr>
            </w:pPr>
            <w:r>
              <w:rPr>
                <w:rFonts w:ascii="Arial" w:hAnsi="Arial" w:cs="Arial"/>
                <w:sz w:val="20"/>
                <w:szCs w:val="20"/>
              </w:rPr>
              <w:t>- 0,264</w:t>
            </w:r>
          </w:p>
          <w:p w14:paraId="7BAC9996" w14:textId="72E6E636" w:rsidR="009D7B59" w:rsidRDefault="009D7B59" w:rsidP="009D7B59">
            <w:pPr>
              <w:jc w:val="center"/>
              <w:rPr>
                <w:rFonts w:ascii="Arial" w:hAnsi="Arial" w:cs="Arial"/>
                <w:sz w:val="20"/>
                <w:szCs w:val="20"/>
              </w:rPr>
            </w:pPr>
          </w:p>
        </w:tc>
        <w:tc>
          <w:tcPr>
            <w:tcW w:w="1355" w:type="dxa"/>
            <w:vAlign w:val="center"/>
          </w:tcPr>
          <w:p w14:paraId="41998090" w14:textId="77777777" w:rsidR="009D7B59" w:rsidRDefault="009D7B59" w:rsidP="009D7B59">
            <w:pPr>
              <w:jc w:val="center"/>
              <w:rPr>
                <w:rFonts w:ascii="Arial" w:hAnsi="Arial" w:cs="Arial"/>
                <w:sz w:val="20"/>
                <w:szCs w:val="20"/>
              </w:rPr>
            </w:pPr>
            <w:r>
              <w:rPr>
                <w:rFonts w:ascii="Arial" w:hAnsi="Arial" w:cs="Arial"/>
                <w:sz w:val="20"/>
                <w:szCs w:val="20"/>
              </w:rPr>
              <w:t>- 0,046</w:t>
            </w:r>
          </w:p>
          <w:p w14:paraId="695534C5" w14:textId="109BBC75" w:rsidR="009D7B59" w:rsidRPr="002D0203" w:rsidRDefault="009D7B59" w:rsidP="009D7B59">
            <w:pPr>
              <w:jc w:val="center"/>
              <w:rPr>
                <w:rFonts w:ascii="Arial" w:hAnsi="Arial" w:cs="Arial"/>
                <w:sz w:val="20"/>
                <w:szCs w:val="20"/>
              </w:rPr>
            </w:pPr>
          </w:p>
        </w:tc>
        <w:tc>
          <w:tcPr>
            <w:tcW w:w="1355" w:type="dxa"/>
            <w:vAlign w:val="center"/>
          </w:tcPr>
          <w:p w14:paraId="4FBE0E64" w14:textId="77777777" w:rsidR="009D7B59" w:rsidRDefault="00DF4A2E" w:rsidP="009D7B59">
            <w:pPr>
              <w:jc w:val="center"/>
              <w:rPr>
                <w:rFonts w:ascii="Arial" w:hAnsi="Arial" w:cs="Arial"/>
                <w:sz w:val="20"/>
                <w:szCs w:val="20"/>
              </w:rPr>
            </w:pPr>
            <w:r>
              <w:rPr>
                <w:rFonts w:ascii="Arial" w:hAnsi="Arial" w:cs="Arial"/>
                <w:sz w:val="20"/>
                <w:szCs w:val="20"/>
              </w:rPr>
              <w:t>- 0,018</w:t>
            </w:r>
          </w:p>
          <w:p w14:paraId="306DDEB2" w14:textId="6661C48C" w:rsidR="00DF4A2E" w:rsidRPr="002D0203" w:rsidRDefault="00DF4A2E" w:rsidP="009D7B59">
            <w:pPr>
              <w:jc w:val="center"/>
              <w:rPr>
                <w:rFonts w:ascii="Arial" w:hAnsi="Arial" w:cs="Arial"/>
                <w:sz w:val="20"/>
                <w:szCs w:val="20"/>
              </w:rPr>
            </w:pPr>
          </w:p>
        </w:tc>
        <w:tc>
          <w:tcPr>
            <w:tcW w:w="1356" w:type="dxa"/>
            <w:vAlign w:val="center"/>
          </w:tcPr>
          <w:p w14:paraId="18BCB2F0" w14:textId="77777777" w:rsidR="009D7B59" w:rsidRDefault="00DF4A2E" w:rsidP="009D7B59">
            <w:pPr>
              <w:jc w:val="center"/>
              <w:rPr>
                <w:rFonts w:ascii="Arial" w:hAnsi="Arial" w:cs="Arial"/>
                <w:sz w:val="20"/>
                <w:szCs w:val="20"/>
              </w:rPr>
            </w:pPr>
            <w:r>
              <w:rPr>
                <w:rFonts w:ascii="Arial" w:hAnsi="Arial" w:cs="Arial"/>
                <w:sz w:val="20"/>
                <w:szCs w:val="20"/>
              </w:rPr>
              <w:t>- 0,137</w:t>
            </w:r>
          </w:p>
          <w:p w14:paraId="1BB44099" w14:textId="61691E4F" w:rsidR="00DF4A2E" w:rsidRPr="002D0203" w:rsidRDefault="00DF4A2E" w:rsidP="009D7B59">
            <w:pPr>
              <w:jc w:val="center"/>
              <w:rPr>
                <w:rFonts w:ascii="Arial" w:hAnsi="Arial" w:cs="Arial"/>
                <w:sz w:val="20"/>
                <w:szCs w:val="20"/>
              </w:rPr>
            </w:pPr>
          </w:p>
        </w:tc>
        <w:tc>
          <w:tcPr>
            <w:tcW w:w="1547" w:type="dxa"/>
            <w:vAlign w:val="center"/>
          </w:tcPr>
          <w:p w14:paraId="013DFD6F" w14:textId="77777777" w:rsidR="009D7B59" w:rsidRDefault="003D159F" w:rsidP="009D7B59">
            <w:pPr>
              <w:jc w:val="center"/>
              <w:rPr>
                <w:rFonts w:ascii="Arial" w:hAnsi="Arial" w:cs="Arial"/>
                <w:sz w:val="20"/>
                <w:szCs w:val="20"/>
              </w:rPr>
            </w:pPr>
            <w:r>
              <w:rPr>
                <w:rFonts w:ascii="Arial" w:hAnsi="Arial" w:cs="Arial"/>
                <w:sz w:val="20"/>
                <w:szCs w:val="20"/>
              </w:rPr>
              <w:t>- 0,270</w:t>
            </w:r>
          </w:p>
          <w:p w14:paraId="56D7AC2A" w14:textId="56A4898E" w:rsidR="003D159F" w:rsidRPr="002D0203" w:rsidRDefault="003D159F" w:rsidP="009D7B59">
            <w:pPr>
              <w:jc w:val="center"/>
              <w:rPr>
                <w:rFonts w:ascii="Arial" w:hAnsi="Arial" w:cs="Arial"/>
                <w:sz w:val="20"/>
                <w:szCs w:val="20"/>
              </w:rPr>
            </w:pPr>
          </w:p>
        </w:tc>
      </w:tr>
      <w:tr w:rsidR="009D7B59" w14:paraId="0C7DDE1B" w14:textId="77777777" w:rsidTr="009D7B59">
        <w:tc>
          <w:tcPr>
            <w:tcW w:w="1520" w:type="dxa"/>
            <w:vAlign w:val="center"/>
          </w:tcPr>
          <w:p w14:paraId="05F78C35" w14:textId="4AB5D1C5" w:rsidR="009D7B59" w:rsidRPr="002D0203" w:rsidRDefault="009D7B59" w:rsidP="009D7B59">
            <w:pPr>
              <w:spacing w:line="360" w:lineRule="auto"/>
              <w:jc w:val="both"/>
              <w:rPr>
                <w:rFonts w:ascii="Arial" w:hAnsi="Arial" w:cs="Arial"/>
                <w:sz w:val="20"/>
                <w:szCs w:val="20"/>
              </w:rPr>
            </w:pPr>
            <w:r>
              <w:rPr>
                <w:rFonts w:ascii="Arial" w:hAnsi="Arial" w:cs="Arial"/>
                <w:sz w:val="20"/>
                <w:szCs w:val="20"/>
              </w:rPr>
              <w:t>CE – C</w:t>
            </w:r>
          </w:p>
        </w:tc>
        <w:tc>
          <w:tcPr>
            <w:tcW w:w="1355" w:type="dxa"/>
            <w:vAlign w:val="center"/>
          </w:tcPr>
          <w:p w14:paraId="6BB1C9C3" w14:textId="77777777" w:rsidR="009D7B59" w:rsidRDefault="009D7B59" w:rsidP="009D7B59">
            <w:pPr>
              <w:jc w:val="center"/>
              <w:rPr>
                <w:rFonts w:ascii="Arial" w:hAnsi="Arial" w:cs="Arial"/>
                <w:sz w:val="20"/>
                <w:szCs w:val="20"/>
              </w:rPr>
            </w:pPr>
            <w:r>
              <w:rPr>
                <w:rFonts w:ascii="Arial" w:hAnsi="Arial" w:cs="Arial"/>
                <w:sz w:val="20"/>
                <w:szCs w:val="20"/>
              </w:rPr>
              <w:t>- 0,060</w:t>
            </w:r>
          </w:p>
          <w:p w14:paraId="65FEAB85" w14:textId="25BD56A5" w:rsidR="009D7B59" w:rsidRDefault="009D7B59" w:rsidP="009D7B59">
            <w:pPr>
              <w:jc w:val="center"/>
              <w:rPr>
                <w:rFonts w:ascii="Arial" w:hAnsi="Arial" w:cs="Arial"/>
                <w:sz w:val="20"/>
                <w:szCs w:val="20"/>
              </w:rPr>
            </w:pPr>
          </w:p>
        </w:tc>
        <w:tc>
          <w:tcPr>
            <w:tcW w:w="1355" w:type="dxa"/>
            <w:vAlign w:val="center"/>
          </w:tcPr>
          <w:p w14:paraId="3A039657" w14:textId="77777777" w:rsidR="009D7B59" w:rsidRDefault="009D7B59" w:rsidP="009D7B59">
            <w:pPr>
              <w:jc w:val="center"/>
              <w:rPr>
                <w:rFonts w:ascii="Arial" w:hAnsi="Arial" w:cs="Arial"/>
                <w:sz w:val="20"/>
                <w:szCs w:val="20"/>
              </w:rPr>
            </w:pPr>
            <w:r>
              <w:rPr>
                <w:rFonts w:ascii="Arial" w:hAnsi="Arial" w:cs="Arial"/>
                <w:sz w:val="20"/>
                <w:szCs w:val="20"/>
              </w:rPr>
              <w:t>- 0,012</w:t>
            </w:r>
          </w:p>
          <w:p w14:paraId="04EC9808" w14:textId="79AB41AE" w:rsidR="009D7B59" w:rsidRPr="002D0203" w:rsidRDefault="009D7B59" w:rsidP="009D7B59">
            <w:pPr>
              <w:jc w:val="center"/>
              <w:rPr>
                <w:rFonts w:ascii="Arial" w:hAnsi="Arial" w:cs="Arial"/>
                <w:sz w:val="20"/>
                <w:szCs w:val="20"/>
              </w:rPr>
            </w:pPr>
          </w:p>
        </w:tc>
        <w:tc>
          <w:tcPr>
            <w:tcW w:w="1355" w:type="dxa"/>
            <w:vAlign w:val="center"/>
          </w:tcPr>
          <w:p w14:paraId="59449035" w14:textId="77777777" w:rsidR="009D7B59" w:rsidRDefault="00DF4A2E" w:rsidP="009D7B59">
            <w:pPr>
              <w:jc w:val="center"/>
              <w:rPr>
                <w:rFonts w:ascii="Arial" w:hAnsi="Arial" w:cs="Arial"/>
                <w:sz w:val="20"/>
                <w:szCs w:val="20"/>
              </w:rPr>
            </w:pPr>
            <w:r>
              <w:rPr>
                <w:rFonts w:ascii="Arial" w:hAnsi="Arial" w:cs="Arial"/>
                <w:sz w:val="20"/>
                <w:szCs w:val="20"/>
              </w:rPr>
              <w:t>- 0,016</w:t>
            </w:r>
          </w:p>
          <w:p w14:paraId="6FF9F646" w14:textId="5AB47DA2" w:rsidR="00DF4A2E" w:rsidRPr="002D0203" w:rsidRDefault="00DF4A2E" w:rsidP="009D7B59">
            <w:pPr>
              <w:jc w:val="center"/>
              <w:rPr>
                <w:rFonts w:ascii="Arial" w:hAnsi="Arial" w:cs="Arial"/>
                <w:sz w:val="20"/>
                <w:szCs w:val="20"/>
              </w:rPr>
            </w:pPr>
          </w:p>
        </w:tc>
        <w:tc>
          <w:tcPr>
            <w:tcW w:w="1356" w:type="dxa"/>
            <w:vAlign w:val="center"/>
          </w:tcPr>
          <w:p w14:paraId="6B6B7E3D" w14:textId="77777777" w:rsidR="009D7B59" w:rsidRDefault="00DF4A2E" w:rsidP="009D7B59">
            <w:pPr>
              <w:jc w:val="center"/>
              <w:rPr>
                <w:rFonts w:ascii="Arial" w:hAnsi="Arial" w:cs="Arial"/>
                <w:sz w:val="20"/>
                <w:szCs w:val="20"/>
              </w:rPr>
            </w:pPr>
            <w:r>
              <w:rPr>
                <w:rFonts w:ascii="Arial" w:hAnsi="Arial" w:cs="Arial"/>
                <w:sz w:val="20"/>
                <w:szCs w:val="20"/>
              </w:rPr>
              <w:t>- 0,033</w:t>
            </w:r>
          </w:p>
          <w:p w14:paraId="6BF10C11" w14:textId="392C1697" w:rsidR="00DF4A2E" w:rsidRPr="002D0203" w:rsidRDefault="00DF4A2E" w:rsidP="009D7B59">
            <w:pPr>
              <w:jc w:val="center"/>
              <w:rPr>
                <w:rFonts w:ascii="Arial" w:hAnsi="Arial" w:cs="Arial"/>
                <w:sz w:val="20"/>
                <w:szCs w:val="20"/>
              </w:rPr>
            </w:pPr>
          </w:p>
        </w:tc>
        <w:tc>
          <w:tcPr>
            <w:tcW w:w="1547" w:type="dxa"/>
            <w:vAlign w:val="center"/>
          </w:tcPr>
          <w:p w14:paraId="05DB0760" w14:textId="77777777" w:rsidR="009D7B59" w:rsidRDefault="003D159F" w:rsidP="009D7B59">
            <w:pPr>
              <w:jc w:val="center"/>
              <w:rPr>
                <w:rFonts w:ascii="Arial" w:hAnsi="Arial" w:cs="Arial"/>
                <w:sz w:val="20"/>
                <w:szCs w:val="20"/>
              </w:rPr>
            </w:pPr>
            <w:r>
              <w:rPr>
                <w:rFonts w:ascii="Arial" w:hAnsi="Arial" w:cs="Arial"/>
                <w:sz w:val="20"/>
                <w:szCs w:val="20"/>
              </w:rPr>
              <w:t>- 0,062</w:t>
            </w:r>
          </w:p>
          <w:p w14:paraId="65912679" w14:textId="3BD21777" w:rsidR="003D159F" w:rsidRPr="002D0203" w:rsidRDefault="003D159F" w:rsidP="009D7B59">
            <w:pPr>
              <w:jc w:val="center"/>
              <w:rPr>
                <w:rFonts w:ascii="Arial" w:hAnsi="Arial" w:cs="Arial"/>
                <w:sz w:val="20"/>
                <w:szCs w:val="20"/>
              </w:rPr>
            </w:pPr>
          </w:p>
        </w:tc>
      </w:tr>
      <w:tr w:rsidR="009D7B59" w14:paraId="09B4BF6A" w14:textId="77777777" w:rsidTr="009D7B59">
        <w:tc>
          <w:tcPr>
            <w:tcW w:w="1520" w:type="dxa"/>
            <w:vAlign w:val="center"/>
          </w:tcPr>
          <w:p w14:paraId="07FF23B0" w14:textId="049531B7" w:rsidR="009D7B59" w:rsidRDefault="009D7B59" w:rsidP="009D7B59">
            <w:pPr>
              <w:spacing w:line="360" w:lineRule="auto"/>
              <w:jc w:val="both"/>
              <w:rPr>
                <w:rFonts w:ascii="Arial" w:hAnsi="Arial" w:cs="Arial"/>
                <w:sz w:val="20"/>
                <w:szCs w:val="20"/>
              </w:rPr>
            </w:pPr>
            <w:r>
              <w:rPr>
                <w:rFonts w:ascii="Arial" w:hAnsi="Arial" w:cs="Arial"/>
                <w:sz w:val="20"/>
                <w:szCs w:val="20"/>
              </w:rPr>
              <w:t>MA – C</w:t>
            </w:r>
          </w:p>
        </w:tc>
        <w:tc>
          <w:tcPr>
            <w:tcW w:w="1355" w:type="dxa"/>
            <w:vAlign w:val="center"/>
          </w:tcPr>
          <w:p w14:paraId="7E6A70D7" w14:textId="77777777" w:rsidR="009D7B59" w:rsidRDefault="009D7B59" w:rsidP="009D7B59">
            <w:pPr>
              <w:jc w:val="center"/>
              <w:rPr>
                <w:rFonts w:ascii="Arial" w:hAnsi="Arial" w:cs="Arial"/>
                <w:sz w:val="20"/>
                <w:szCs w:val="20"/>
              </w:rPr>
            </w:pPr>
            <w:r>
              <w:rPr>
                <w:rFonts w:ascii="Arial" w:hAnsi="Arial" w:cs="Arial"/>
                <w:sz w:val="20"/>
                <w:szCs w:val="20"/>
              </w:rPr>
              <w:t>0,073</w:t>
            </w:r>
          </w:p>
          <w:p w14:paraId="6208D653" w14:textId="1D451605" w:rsidR="009D7B59" w:rsidRDefault="009D7B59" w:rsidP="009D7B59">
            <w:pPr>
              <w:jc w:val="center"/>
              <w:rPr>
                <w:rFonts w:ascii="Arial" w:hAnsi="Arial" w:cs="Arial"/>
                <w:sz w:val="20"/>
                <w:szCs w:val="20"/>
              </w:rPr>
            </w:pPr>
          </w:p>
        </w:tc>
        <w:tc>
          <w:tcPr>
            <w:tcW w:w="1355" w:type="dxa"/>
            <w:vAlign w:val="center"/>
          </w:tcPr>
          <w:p w14:paraId="60740B04" w14:textId="77777777" w:rsidR="009D7B59" w:rsidRDefault="009D7B59" w:rsidP="009D7B59">
            <w:pPr>
              <w:jc w:val="center"/>
              <w:rPr>
                <w:rFonts w:ascii="Arial" w:hAnsi="Arial" w:cs="Arial"/>
                <w:sz w:val="20"/>
                <w:szCs w:val="20"/>
              </w:rPr>
            </w:pPr>
            <w:r>
              <w:rPr>
                <w:rFonts w:ascii="Arial" w:hAnsi="Arial" w:cs="Arial"/>
                <w:sz w:val="20"/>
                <w:szCs w:val="20"/>
              </w:rPr>
              <w:t>0,043</w:t>
            </w:r>
          </w:p>
          <w:p w14:paraId="0813219F" w14:textId="6CC86FC0" w:rsidR="009D7B59" w:rsidRPr="002D0203" w:rsidRDefault="009D7B59" w:rsidP="009D7B59">
            <w:pPr>
              <w:jc w:val="center"/>
              <w:rPr>
                <w:rFonts w:ascii="Arial" w:hAnsi="Arial" w:cs="Arial"/>
                <w:sz w:val="20"/>
                <w:szCs w:val="20"/>
              </w:rPr>
            </w:pPr>
          </w:p>
        </w:tc>
        <w:tc>
          <w:tcPr>
            <w:tcW w:w="1355" w:type="dxa"/>
            <w:vAlign w:val="center"/>
          </w:tcPr>
          <w:p w14:paraId="06E3BC2F" w14:textId="77777777" w:rsidR="009D7B59" w:rsidRDefault="00DF4A2E" w:rsidP="009D7B59">
            <w:pPr>
              <w:jc w:val="center"/>
              <w:rPr>
                <w:rFonts w:ascii="Arial" w:hAnsi="Arial" w:cs="Arial"/>
                <w:sz w:val="20"/>
                <w:szCs w:val="20"/>
              </w:rPr>
            </w:pPr>
            <w:r>
              <w:rPr>
                <w:rFonts w:ascii="Arial" w:hAnsi="Arial" w:cs="Arial"/>
                <w:sz w:val="20"/>
                <w:szCs w:val="20"/>
              </w:rPr>
              <w:t>0,062</w:t>
            </w:r>
          </w:p>
          <w:p w14:paraId="60FD80B7" w14:textId="7C66980A" w:rsidR="00DF4A2E" w:rsidRPr="002D0203" w:rsidRDefault="00DF4A2E" w:rsidP="009D7B59">
            <w:pPr>
              <w:jc w:val="center"/>
              <w:rPr>
                <w:rFonts w:ascii="Arial" w:hAnsi="Arial" w:cs="Arial"/>
                <w:sz w:val="20"/>
                <w:szCs w:val="20"/>
              </w:rPr>
            </w:pPr>
          </w:p>
        </w:tc>
        <w:tc>
          <w:tcPr>
            <w:tcW w:w="1356" w:type="dxa"/>
            <w:vAlign w:val="center"/>
          </w:tcPr>
          <w:p w14:paraId="68209EB8" w14:textId="77777777" w:rsidR="009D7B59" w:rsidRDefault="00DF4A2E" w:rsidP="009D7B59">
            <w:pPr>
              <w:jc w:val="center"/>
              <w:rPr>
                <w:rFonts w:ascii="Arial" w:hAnsi="Arial" w:cs="Arial"/>
                <w:sz w:val="20"/>
                <w:szCs w:val="20"/>
              </w:rPr>
            </w:pPr>
            <w:r>
              <w:rPr>
                <w:rFonts w:ascii="Arial" w:hAnsi="Arial" w:cs="Arial"/>
                <w:sz w:val="20"/>
                <w:szCs w:val="20"/>
              </w:rPr>
              <w:t>0,056</w:t>
            </w:r>
          </w:p>
          <w:p w14:paraId="783FCFE8" w14:textId="7868D0D6" w:rsidR="00DF4A2E" w:rsidRPr="002D0203" w:rsidRDefault="00DF4A2E" w:rsidP="009D7B59">
            <w:pPr>
              <w:jc w:val="center"/>
              <w:rPr>
                <w:rFonts w:ascii="Arial" w:hAnsi="Arial" w:cs="Arial"/>
                <w:sz w:val="20"/>
                <w:szCs w:val="20"/>
              </w:rPr>
            </w:pPr>
          </w:p>
        </w:tc>
        <w:tc>
          <w:tcPr>
            <w:tcW w:w="1547" w:type="dxa"/>
            <w:vAlign w:val="center"/>
          </w:tcPr>
          <w:p w14:paraId="31E486EC" w14:textId="77777777" w:rsidR="009D7B59" w:rsidRDefault="003D159F" w:rsidP="009D7B59">
            <w:pPr>
              <w:jc w:val="center"/>
              <w:rPr>
                <w:rFonts w:ascii="Arial" w:hAnsi="Arial" w:cs="Arial"/>
                <w:sz w:val="20"/>
                <w:szCs w:val="20"/>
              </w:rPr>
            </w:pPr>
            <w:r>
              <w:rPr>
                <w:rFonts w:ascii="Arial" w:hAnsi="Arial" w:cs="Arial"/>
                <w:sz w:val="20"/>
                <w:szCs w:val="20"/>
              </w:rPr>
              <w:t>0,081</w:t>
            </w:r>
          </w:p>
          <w:p w14:paraId="4317F8E8" w14:textId="7C8C6AA7" w:rsidR="003D159F" w:rsidRPr="002D0203" w:rsidRDefault="003D159F" w:rsidP="009D7B59">
            <w:pPr>
              <w:jc w:val="center"/>
              <w:rPr>
                <w:rFonts w:ascii="Arial" w:hAnsi="Arial" w:cs="Arial"/>
                <w:sz w:val="20"/>
                <w:szCs w:val="20"/>
              </w:rPr>
            </w:pPr>
          </w:p>
        </w:tc>
      </w:tr>
      <w:tr w:rsidR="009D7B59" w14:paraId="675B24DA" w14:textId="77777777" w:rsidTr="009D7B59">
        <w:tc>
          <w:tcPr>
            <w:tcW w:w="1520" w:type="dxa"/>
            <w:vAlign w:val="center"/>
          </w:tcPr>
          <w:p w14:paraId="05345602" w14:textId="04B409BF" w:rsidR="009D7B59" w:rsidRDefault="009D7B59" w:rsidP="009D7B59">
            <w:pPr>
              <w:spacing w:line="360" w:lineRule="auto"/>
              <w:jc w:val="both"/>
              <w:rPr>
                <w:rFonts w:ascii="Arial" w:hAnsi="Arial" w:cs="Arial"/>
                <w:sz w:val="20"/>
                <w:szCs w:val="20"/>
              </w:rPr>
            </w:pPr>
            <w:r>
              <w:rPr>
                <w:rFonts w:ascii="Arial" w:hAnsi="Arial" w:cs="Arial"/>
                <w:sz w:val="20"/>
                <w:szCs w:val="20"/>
              </w:rPr>
              <w:t>PB – C</w:t>
            </w:r>
          </w:p>
        </w:tc>
        <w:tc>
          <w:tcPr>
            <w:tcW w:w="1355" w:type="dxa"/>
            <w:vAlign w:val="center"/>
          </w:tcPr>
          <w:p w14:paraId="77C39004" w14:textId="77777777" w:rsidR="009D7B59" w:rsidRDefault="009D7B59" w:rsidP="009D7B59">
            <w:pPr>
              <w:jc w:val="center"/>
              <w:rPr>
                <w:rFonts w:ascii="Arial" w:hAnsi="Arial" w:cs="Arial"/>
                <w:sz w:val="20"/>
                <w:szCs w:val="20"/>
              </w:rPr>
            </w:pPr>
            <w:r>
              <w:rPr>
                <w:rFonts w:ascii="Arial" w:hAnsi="Arial" w:cs="Arial"/>
                <w:sz w:val="20"/>
                <w:szCs w:val="20"/>
              </w:rPr>
              <w:t>0,058</w:t>
            </w:r>
          </w:p>
          <w:p w14:paraId="43D45116" w14:textId="3DBF87A5" w:rsidR="009D7B59" w:rsidRDefault="009D7B59" w:rsidP="009D7B59">
            <w:pPr>
              <w:jc w:val="center"/>
              <w:rPr>
                <w:rFonts w:ascii="Arial" w:hAnsi="Arial" w:cs="Arial"/>
                <w:sz w:val="20"/>
                <w:szCs w:val="20"/>
              </w:rPr>
            </w:pPr>
          </w:p>
        </w:tc>
        <w:tc>
          <w:tcPr>
            <w:tcW w:w="1355" w:type="dxa"/>
            <w:vAlign w:val="center"/>
          </w:tcPr>
          <w:p w14:paraId="736775A8" w14:textId="77777777" w:rsidR="009D7B59" w:rsidRDefault="009D7B59" w:rsidP="009D7B59">
            <w:pPr>
              <w:jc w:val="center"/>
              <w:rPr>
                <w:rFonts w:ascii="Arial" w:hAnsi="Arial" w:cs="Arial"/>
                <w:sz w:val="20"/>
                <w:szCs w:val="20"/>
              </w:rPr>
            </w:pPr>
            <w:r>
              <w:rPr>
                <w:rFonts w:ascii="Arial" w:hAnsi="Arial" w:cs="Arial"/>
                <w:sz w:val="20"/>
                <w:szCs w:val="20"/>
              </w:rPr>
              <w:t>0,002</w:t>
            </w:r>
          </w:p>
          <w:p w14:paraId="433798F7" w14:textId="2D8C1DFE" w:rsidR="009D7B59" w:rsidRPr="002D0203" w:rsidRDefault="009D7B59" w:rsidP="009D7B59">
            <w:pPr>
              <w:jc w:val="center"/>
              <w:rPr>
                <w:rFonts w:ascii="Arial" w:hAnsi="Arial" w:cs="Arial"/>
                <w:sz w:val="20"/>
                <w:szCs w:val="20"/>
              </w:rPr>
            </w:pPr>
          </w:p>
        </w:tc>
        <w:tc>
          <w:tcPr>
            <w:tcW w:w="1355" w:type="dxa"/>
            <w:vAlign w:val="center"/>
          </w:tcPr>
          <w:p w14:paraId="6551618A" w14:textId="77777777" w:rsidR="009D7B59" w:rsidRDefault="00DF4A2E" w:rsidP="009D7B59">
            <w:pPr>
              <w:jc w:val="center"/>
              <w:rPr>
                <w:rFonts w:ascii="Arial" w:hAnsi="Arial" w:cs="Arial"/>
                <w:sz w:val="20"/>
                <w:szCs w:val="20"/>
              </w:rPr>
            </w:pPr>
            <w:r>
              <w:rPr>
                <w:rFonts w:ascii="Arial" w:hAnsi="Arial" w:cs="Arial"/>
                <w:sz w:val="20"/>
                <w:szCs w:val="20"/>
              </w:rPr>
              <w:t>- 0,009</w:t>
            </w:r>
          </w:p>
          <w:p w14:paraId="46F4206F" w14:textId="09DFAF36" w:rsidR="00DF4A2E" w:rsidRPr="002D0203" w:rsidRDefault="00DF4A2E" w:rsidP="009D7B59">
            <w:pPr>
              <w:jc w:val="center"/>
              <w:rPr>
                <w:rFonts w:ascii="Arial" w:hAnsi="Arial" w:cs="Arial"/>
                <w:sz w:val="20"/>
                <w:szCs w:val="20"/>
              </w:rPr>
            </w:pPr>
          </w:p>
        </w:tc>
        <w:tc>
          <w:tcPr>
            <w:tcW w:w="1356" w:type="dxa"/>
            <w:vAlign w:val="center"/>
          </w:tcPr>
          <w:p w14:paraId="15F51891" w14:textId="77777777" w:rsidR="009D7B59" w:rsidRDefault="00DF4A2E" w:rsidP="009D7B59">
            <w:pPr>
              <w:jc w:val="center"/>
              <w:rPr>
                <w:rFonts w:ascii="Arial" w:hAnsi="Arial" w:cs="Arial"/>
                <w:sz w:val="20"/>
                <w:szCs w:val="20"/>
              </w:rPr>
            </w:pPr>
            <w:r>
              <w:rPr>
                <w:rFonts w:ascii="Arial" w:hAnsi="Arial" w:cs="Arial"/>
                <w:sz w:val="20"/>
                <w:szCs w:val="20"/>
              </w:rPr>
              <w:t>0,025</w:t>
            </w:r>
          </w:p>
          <w:p w14:paraId="1E8D20F6" w14:textId="28D5323D" w:rsidR="00DF4A2E" w:rsidRPr="002D0203" w:rsidRDefault="00DF4A2E" w:rsidP="009D7B59">
            <w:pPr>
              <w:jc w:val="center"/>
              <w:rPr>
                <w:rFonts w:ascii="Arial" w:hAnsi="Arial" w:cs="Arial"/>
                <w:sz w:val="20"/>
                <w:szCs w:val="20"/>
              </w:rPr>
            </w:pPr>
          </w:p>
        </w:tc>
        <w:tc>
          <w:tcPr>
            <w:tcW w:w="1547" w:type="dxa"/>
            <w:vAlign w:val="center"/>
          </w:tcPr>
          <w:p w14:paraId="0B42EAF3" w14:textId="77777777" w:rsidR="009D7B59" w:rsidRDefault="005B245B" w:rsidP="009D7B59">
            <w:pPr>
              <w:jc w:val="center"/>
              <w:rPr>
                <w:rFonts w:ascii="Arial" w:hAnsi="Arial" w:cs="Arial"/>
                <w:sz w:val="20"/>
                <w:szCs w:val="20"/>
              </w:rPr>
            </w:pPr>
            <w:r>
              <w:rPr>
                <w:rFonts w:ascii="Arial" w:hAnsi="Arial" w:cs="Arial"/>
                <w:sz w:val="20"/>
                <w:szCs w:val="20"/>
              </w:rPr>
              <w:t>0,057</w:t>
            </w:r>
          </w:p>
          <w:p w14:paraId="273640A8" w14:textId="3CC5CC7F" w:rsidR="005B245B" w:rsidRPr="002D0203" w:rsidRDefault="005B245B" w:rsidP="009D7B59">
            <w:pPr>
              <w:jc w:val="center"/>
              <w:rPr>
                <w:rFonts w:ascii="Arial" w:hAnsi="Arial" w:cs="Arial"/>
                <w:sz w:val="20"/>
                <w:szCs w:val="20"/>
              </w:rPr>
            </w:pPr>
          </w:p>
        </w:tc>
      </w:tr>
      <w:tr w:rsidR="009D7B59" w14:paraId="4264305F" w14:textId="77777777" w:rsidTr="009D7B59">
        <w:tc>
          <w:tcPr>
            <w:tcW w:w="1520" w:type="dxa"/>
            <w:vAlign w:val="center"/>
          </w:tcPr>
          <w:p w14:paraId="607B2853" w14:textId="34D847FA" w:rsidR="009D7B59" w:rsidRDefault="009D7B59" w:rsidP="009D7B59">
            <w:pPr>
              <w:spacing w:line="360" w:lineRule="auto"/>
              <w:jc w:val="both"/>
              <w:rPr>
                <w:rFonts w:ascii="Arial" w:hAnsi="Arial" w:cs="Arial"/>
                <w:sz w:val="20"/>
                <w:szCs w:val="20"/>
              </w:rPr>
            </w:pPr>
            <w:r>
              <w:rPr>
                <w:rFonts w:ascii="Arial" w:hAnsi="Arial" w:cs="Arial"/>
                <w:sz w:val="20"/>
                <w:szCs w:val="20"/>
              </w:rPr>
              <w:t>PE – C</w:t>
            </w:r>
          </w:p>
        </w:tc>
        <w:tc>
          <w:tcPr>
            <w:tcW w:w="1355" w:type="dxa"/>
            <w:vAlign w:val="center"/>
          </w:tcPr>
          <w:p w14:paraId="63B3A77D" w14:textId="77777777" w:rsidR="009D7B59" w:rsidRDefault="009D7B59" w:rsidP="009D7B59">
            <w:pPr>
              <w:jc w:val="center"/>
              <w:rPr>
                <w:rFonts w:ascii="Arial" w:hAnsi="Arial" w:cs="Arial"/>
                <w:sz w:val="20"/>
                <w:szCs w:val="20"/>
              </w:rPr>
            </w:pPr>
            <w:r>
              <w:rPr>
                <w:rFonts w:ascii="Arial" w:hAnsi="Arial" w:cs="Arial"/>
                <w:sz w:val="20"/>
                <w:szCs w:val="20"/>
              </w:rPr>
              <w:t>- 0,130</w:t>
            </w:r>
          </w:p>
          <w:p w14:paraId="6FC6DDD4" w14:textId="42020CD9" w:rsidR="009D7B59" w:rsidRDefault="009D7B59" w:rsidP="009D7B59">
            <w:pPr>
              <w:jc w:val="center"/>
              <w:rPr>
                <w:rFonts w:ascii="Arial" w:hAnsi="Arial" w:cs="Arial"/>
                <w:sz w:val="20"/>
                <w:szCs w:val="20"/>
              </w:rPr>
            </w:pPr>
          </w:p>
        </w:tc>
        <w:tc>
          <w:tcPr>
            <w:tcW w:w="1355" w:type="dxa"/>
            <w:vAlign w:val="center"/>
          </w:tcPr>
          <w:p w14:paraId="36ED8E3D" w14:textId="77777777" w:rsidR="009D7B59" w:rsidRDefault="009D7B59" w:rsidP="009D7B59">
            <w:pPr>
              <w:jc w:val="center"/>
              <w:rPr>
                <w:rFonts w:ascii="Arial" w:hAnsi="Arial" w:cs="Arial"/>
                <w:sz w:val="20"/>
                <w:szCs w:val="20"/>
              </w:rPr>
            </w:pPr>
            <w:r>
              <w:rPr>
                <w:rFonts w:ascii="Arial" w:hAnsi="Arial" w:cs="Arial"/>
                <w:sz w:val="20"/>
                <w:szCs w:val="20"/>
              </w:rPr>
              <w:t>- 0,041</w:t>
            </w:r>
          </w:p>
          <w:p w14:paraId="3B38FA83" w14:textId="1813493E" w:rsidR="009D7B59" w:rsidRPr="002D0203" w:rsidRDefault="009D7B59" w:rsidP="009D7B59">
            <w:pPr>
              <w:jc w:val="center"/>
              <w:rPr>
                <w:rFonts w:ascii="Arial" w:hAnsi="Arial" w:cs="Arial"/>
                <w:sz w:val="20"/>
                <w:szCs w:val="20"/>
              </w:rPr>
            </w:pPr>
          </w:p>
        </w:tc>
        <w:tc>
          <w:tcPr>
            <w:tcW w:w="1355" w:type="dxa"/>
            <w:vAlign w:val="center"/>
          </w:tcPr>
          <w:p w14:paraId="20B94754" w14:textId="77777777" w:rsidR="009D7B59" w:rsidRDefault="00DF4A2E" w:rsidP="009D7B59">
            <w:pPr>
              <w:jc w:val="center"/>
              <w:rPr>
                <w:rFonts w:ascii="Arial" w:hAnsi="Arial" w:cs="Arial"/>
                <w:sz w:val="20"/>
                <w:szCs w:val="20"/>
              </w:rPr>
            </w:pPr>
            <w:r>
              <w:rPr>
                <w:rFonts w:ascii="Arial" w:hAnsi="Arial" w:cs="Arial"/>
                <w:sz w:val="20"/>
                <w:szCs w:val="20"/>
              </w:rPr>
              <w:t>- 0,044</w:t>
            </w:r>
          </w:p>
          <w:p w14:paraId="13EF4E08" w14:textId="1BAB967F" w:rsidR="00DF4A2E" w:rsidRPr="002D0203" w:rsidRDefault="00DF4A2E" w:rsidP="009D7B59">
            <w:pPr>
              <w:jc w:val="center"/>
              <w:rPr>
                <w:rFonts w:ascii="Arial" w:hAnsi="Arial" w:cs="Arial"/>
                <w:sz w:val="20"/>
                <w:szCs w:val="20"/>
              </w:rPr>
            </w:pPr>
          </w:p>
        </w:tc>
        <w:tc>
          <w:tcPr>
            <w:tcW w:w="1356" w:type="dxa"/>
            <w:vAlign w:val="center"/>
          </w:tcPr>
          <w:p w14:paraId="4EC9130C" w14:textId="77777777" w:rsidR="009D7B59" w:rsidRDefault="00DF4A2E" w:rsidP="009D7B59">
            <w:pPr>
              <w:jc w:val="center"/>
              <w:rPr>
                <w:rFonts w:ascii="Arial" w:hAnsi="Arial" w:cs="Arial"/>
                <w:sz w:val="20"/>
                <w:szCs w:val="20"/>
              </w:rPr>
            </w:pPr>
            <w:r>
              <w:rPr>
                <w:rFonts w:ascii="Arial" w:hAnsi="Arial" w:cs="Arial"/>
                <w:sz w:val="20"/>
                <w:szCs w:val="20"/>
              </w:rPr>
              <w:t>- 0,078</w:t>
            </w:r>
          </w:p>
          <w:p w14:paraId="5E914599" w14:textId="2C9E44FB" w:rsidR="00DF4A2E" w:rsidRPr="002D0203" w:rsidRDefault="00DF4A2E" w:rsidP="009D7B59">
            <w:pPr>
              <w:jc w:val="center"/>
              <w:rPr>
                <w:rFonts w:ascii="Arial" w:hAnsi="Arial" w:cs="Arial"/>
                <w:sz w:val="20"/>
                <w:szCs w:val="20"/>
              </w:rPr>
            </w:pPr>
          </w:p>
        </w:tc>
        <w:tc>
          <w:tcPr>
            <w:tcW w:w="1547" w:type="dxa"/>
            <w:vAlign w:val="center"/>
          </w:tcPr>
          <w:p w14:paraId="6FC9E6FE" w14:textId="77777777" w:rsidR="009D7B59" w:rsidRDefault="005B245B" w:rsidP="009D7B59">
            <w:pPr>
              <w:jc w:val="center"/>
              <w:rPr>
                <w:rFonts w:ascii="Arial" w:hAnsi="Arial" w:cs="Arial"/>
                <w:sz w:val="20"/>
                <w:szCs w:val="20"/>
              </w:rPr>
            </w:pPr>
            <w:r>
              <w:rPr>
                <w:rFonts w:ascii="Arial" w:hAnsi="Arial" w:cs="Arial"/>
                <w:sz w:val="20"/>
                <w:szCs w:val="20"/>
              </w:rPr>
              <w:t>- 0,135</w:t>
            </w:r>
          </w:p>
          <w:p w14:paraId="0627DD5F" w14:textId="6F356E00" w:rsidR="005B245B" w:rsidRPr="002D0203" w:rsidRDefault="005B245B" w:rsidP="009D7B59">
            <w:pPr>
              <w:jc w:val="center"/>
              <w:rPr>
                <w:rFonts w:ascii="Arial" w:hAnsi="Arial" w:cs="Arial"/>
                <w:sz w:val="20"/>
                <w:szCs w:val="20"/>
              </w:rPr>
            </w:pPr>
          </w:p>
        </w:tc>
      </w:tr>
      <w:tr w:rsidR="009D7B59" w14:paraId="02F16964" w14:textId="77777777" w:rsidTr="009D7B59">
        <w:tc>
          <w:tcPr>
            <w:tcW w:w="1520" w:type="dxa"/>
            <w:vAlign w:val="center"/>
          </w:tcPr>
          <w:p w14:paraId="042DB0BF" w14:textId="7AA00143" w:rsidR="009D7B59" w:rsidRDefault="009D7B59" w:rsidP="009D7B59">
            <w:pPr>
              <w:spacing w:line="360" w:lineRule="auto"/>
              <w:jc w:val="both"/>
              <w:rPr>
                <w:rFonts w:ascii="Arial" w:hAnsi="Arial" w:cs="Arial"/>
                <w:sz w:val="20"/>
                <w:szCs w:val="20"/>
              </w:rPr>
            </w:pPr>
            <w:r>
              <w:rPr>
                <w:rFonts w:ascii="Arial" w:hAnsi="Arial" w:cs="Arial"/>
                <w:sz w:val="20"/>
                <w:szCs w:val="20"/>
              </w:rPr>
              <w:t>PI – C</w:t>
            </w:r>
          </w:p>
        </w:tc>
        <w:tc>
          <w:tcPr>
            <w:tcW w:w="1355" w:type="dxa"/>
            <w:vAlign w:val="center"/>
          </w:tcPr>
          <w:p w14:paraId="573D8808" w14:textId="77777777" w:rsidR="009D7B59" w:rsidRDefault="009D7B59" w:rsidP="009D7B59">
            <w:pPr>
              <w:jc w:val="center"/>
              <w:rPr>
                <w:rFonts w:ascii="Arial" w:hAnsi="Arial" w:cs="Arial"/>
                <w:sz w:val="20"/>
                <w:szCs w:val="20"/>
              </w:rPr>
            </w:pPr>
            <w:r>
              <w:rPr>
                <w:rFonts w:ascii="Arial" w:hAnsi="Arial" w:cs="Arial"/>
                <w:sz w:val="20"/>
                <w:szCs w:val="20"/>
              </w:rPr>
              <w:t>0,113</w:t>
            </w:r>
          </w:p>
          <w:p w14:paraId="67E23154" w14:textId="69F42BB4" w:rsidR="009D7B59" w:rsidRDefault="009D7B59" w:rsidP="009D7B59">
            <w:pPr>
              <w:jc w:val="center"/>
              <w:rPr>
                <w:rFonts w:ascii="Arial" w:hAnsi="Arial" w:cs="Arial"/>
                <w:sz w:val="20"/>
                <w:szCs w:val="20"/>
              </w:rPr>
            </w:pPr>
          </w:p>
        </w:tc>
        <w:tc>
          <w:tcPr>
            <w:tcW w:w="1355" w:type="dxa"/>
            <w:vAlign w:val="center"/>
          </w:tcPr>
          <w:p w14:paraId="382AE7F1" w14:textId="77777777" w:rsidR="009D7B59" w:rsidRDefault="00DF4A2E" w:rsidP="009D7B59">
            <w:pPr>
              <w:jc w:val="center"/>
              <w:rPr>
                <w:rFonts w:ascii="Arial" w:hAnsi="Arial" w:cs="Arial"/>
                <w:sz w:val="20"/>
                <w:szCs w:val="20"/>
              </w:rPr>
            </w:pPr>
            <w:r>
              <w:rPr>
                <w:rFonts w:ascii="Arial" w:hAnsi="Arial" w:cs="Arial"/>
                <w:sz w:val="20"/>
                <w:szCs w:val="20"/>
              </w:rPr>
              <w:t>0,032</w:t>
            </w:r>
          </w:p>
          <w:p w14:paraId="6B8B4838" w14:textId="177D2CC3" w:rsidR="00DF4A2E" w:rsidRPr="002D0203" w:rsidRDefault="00DF4A2E" w:rsidP="009D7B59">
            <w:pPr>
              <w:jc w:val="center"/>
              <w:rPr>
                <w:rFonts w:ascii="Arial" w:hAnsi="Arial" w:cs="Arial"/>
                <w:sz w:val="20"/>
                <w:szCs w:val="20"/>
              </w:rPr>
            </w:pPr>
          </w:p>
        </w:tc>
        <w:tc>
          <w:tcPr>
            <w:tcW w:w="1355" w:type="dxa"/>
            <w:vAlign w:val="center"/>
          </w:tcPr>
          <w:p w14:paraId="4D9DF736" w14:textId="77777777" w:rsidR="009D7B59" w:rsidRDefault="00DF4A2E" w:rsidP="009D7B59">
            <w:pPr>
              <w:jc w:val="center"/>
              <w:rPr>
                <w:rFonts w:ascii="Arial" w:hAnsi="Arial" w:cs="Arial"/>
                <w:sz w:val="20"/>
                <w:szCs w:val="20"/>
              </w:rPr>
            </w:pPr>
            <w:r>
              <w:rPr>
                <w:rFonts w:ascii="Arial" w:hAnsi="Arial" w:cs="Arial"/>
                <w:sz w:val="20"/>
                <w:szCs w:val="20"/>
              </w:rPr>
              <w:t>0,032</w:t>
            </w:r>
          </w:p>
          <w:p w14:paraId="595E6AFA" w14:textId="631F94D7" w:rsidR="00DF4A2E" w:rsidRPr="002D0203" w:rsidRDefault="00DF4A2E" w:rsidP="009D7B59">
            <w:pPr>
              <w:jc w:val="center"/>
              <w:rPr>
                <w:rFonts w:ascii="Arial" w:hAnsi="Arial" w:cs="Arial"/>
                <w:sz w:val="20"/>
                <w:szCs w:val="20"/>
              </w:rPr>
            </w:pPr>
          </w:p>
        </w:tc>
        <w:tc>
          <w:tcPr>
            <w:tcW w:w="1356" w:type="dxa"/>
            <w:vAlign w:val="center"/>
          </w:tcPr>
          <w:p w14:paraId="0A1F6782" w14:textId="77777777" w:rsidR="009D7B59" w:rsidRDefault="00DF4A2E" w:rsidP="009D7B59">
            <w:pPr>
              <w:jc w:val="center"/>
              <w:rPr>
                <w:rFonts w:ascii="Arial" w:hAnsi="Arial" w:cs="Arial"/>
                <w:sz w:val="20"/>
                <w:szCs w:val="20"/>
              </w:rPr>
            </w:pPr>
            <w:r>
              <w:rPr>
                <w:rFonts w:ascii="Arial" w:hAnsi="Arial" w:cs="Arial"/>
                <w:sz w:val="20"/>
                <w:szCs w:val="20"/>
              </w:rPr>
              <w:t>0,066</w:t>
            </w:r>
          </w:p>
          <w:p w14:paraId="163AE28C" w14:textId="189AEA68" w:rsidR="00DF4A2E" w:rsidRPr="002D0203" w:rsidRDefault="00DF4A2E" w:rsidP="009D7B59">
            <w:pPr>
              <w:jc w:val="center"/>
              <w:rPr>
                <w:rFonts w:ascii="Arial" w:hAnsi="Arial" w:cs="Arial"/>
                <w:sz w:val="20"/>
                <w:szCs w:val="20"/>
              </w:rPr>
            </w:pPr>
          </w:p>
        </w:tc>
        <w:tc>
          <w:tcPr>
            <w:tcW w:w="1547" w:type="dxa"/>
            <w:vAlign w:val="center"/>
          </w:tcPr>
          <w:p w14:paraId="2F63D37B" w14:textId="77777777" w:rsidR="009D7B59" w:rsidRDefault="005B245B" w:rsidP="009D7B59">
            <w:pPr>
              <w:jc w:val="center"/>
              <w:rPr>
                <w:rFonts w:ascii="Arial" w:hAnsi="Arial" w:cs="Arial"/>
                <w:sz w:val="20"/>
                <w:szCs w:val="20"/>
              </w:rPr>
            </w:pPr>
            <w:r>
              <w:rPr>
                <w:rFonts w:ascii="Arial" w:hAnsi="Arial" w:cs="Arial"/>
                <w:sz w:val="20"/>
                <w:szCs w:val="20"/>
              </w:rPr>
              <w:t>0,119</w:t>
            </w:r>
          </w:p>
          <w:p w14:paraId="6C11D3A6" w14:textId="0A4C624D" w:rsidR="005B245B" w:rsidRPr="002D0203" w:rsidRDefault="005B245B" w:rsidP="009D7B59">
            <w:pPr>
              <w:jc w:val="center"/>
              <w:rPr>
                <w:rFonts w:ascii="Arial" w:hAnsi="Arial" w:cs="Arial"/>
                <w:sz w:val="20"/>
                <w:szCs w:val="20"/>
              </w:rPr>
            </w:pPr>
          </w:p>
        </w:tc>
      </w:tr>
      <w:tr w:rsidR="009D7B59" w14:paraId="57D3851F" w14:textId="77777777" w:rsidTr="009D7B59">
        <w:tc>
          <w:tcPr>
            <w:tcW w:w="1520" w:type="dxa"/>
            <w:vAlign w:val="center"/>
          </w:tcPr>
          <w:p w14:paraId="48FE5F66" w14:textId="40AA38CF" w:rsidR="009D7B59" w:rsidRDefault="009D7B59" w:rsidP="009D7B59">
            <w:pPr>
              <w:spacing w:line="360" w:lineRule="auto"/>
              <w:jc w:val="both"/>
              <w:rPr>
                <w:rFonts w:ascii="Arial" w:hAnsi="Arial" w:cs="Arial"/>
                <w:sz w:val="20"/>
                <w:szCs w:val="20"/>
              </w:rPr>
            </w:pPr>
            <w:r>
              <w:rPr>
                <w:rFonts w:ascii="Arial" w:hAnsi="Arial" w:cs="Arial"/>
                <w:sz w:val="20"/>
                <w:szCs w:val="20"/>
              </w:rPr>
              <w:t>RN – C</w:t>
            </w:r>
          </w:p>
        </w:tc>
        <w:tc>
          <w:tcPr>
            <w:tcW w:w="1355" w:type="dxa"/>
            <w:vAlign w:val="center"/>
          </w:tcPr>
          <w:p w14:paraId="05FAD4BD" w14:textId="77777777" w:rsidR="009D7B59" w:rsidRDefault="009D7B59" w:rsidP="009D7B59">
            <w:pPr>
              <w:jc w:val="center"/>
              <w:rPr>
                <w:rFonts w:ascii="Arial" w:hAnsi="Arial" w:cs="Arial"/>
                <w:sz w:val="20"/>
                <w:szCs w:val="20"/>
              </w:rPr>
            </w:pPr>
            <w:r>
              <w:rPr>
                <w:rFonts w:ascii="Arial" w:hAnsi="Arial" w:cs="Arial"/>
                <w:sz w:val="20"/>
                <w:szCs w:val="20"/>
              </w:rPr>
              <w:t>0,100</w:t>
            </w:r>
          </w:p>
          <w:p w14:paraId="619E95C8" w14:textId="37CE7211" w:rsidR="009D7B59" w:rsidRDefault="009D7B59" w:rsidP="009D7B59">
            <w:pPr>
              <w:jc w:val="center"/>
              <w:rPr>
                <w:rFonts w:ascii="Arial" w:hAnsi="Arial" w:cs="Arial"/>
                <w:sz w:val="20"/>
                <w:szCs w:val="20"/>
              </w:rPr>
            </w:pPr>
          </w:p>
        </w:tc>
        <w:tc>
          <w:tcPr>
            <w:tcW w:w="1355" w:type="dxa"/>
            <w:vAlign w:val="center"/>
          </w:tcPr>
          <w:p w14:paraId="5D57DA6F" w14:textId="77777777" w:rsidR="009D7B59" w:rsidRDefault="00DF4A2E" w:rsidP="009D7B59">
            <w:pPr>
              <w:jc w:val="center"/>
              <w:rPr>
                <w:rFonts w:ascii="Arial" w:hAnsi="Arial" w:cs="Arial"/>
                <w:sz w:val="20"/>
                <w:szCs w:val="20"/>
              </w:rPr>
            </w:pPr>
            <w:r>
              <w:rPr>
                <w:rFonts w:ascii="Arial" w:hAnsi="Arial" w:cs="Arial"/>
                <w:sz w:val="20"/>
                <w:szCs w:val="20"/>
              </w:rPr>
              <w:t>0,049</w:t>
            </w:r>
          </w:p>
          <w:p w14:paraId="1BE50FAC" w14:textId="5B72C762" w:rsidR="00DF4A2E" w:rsidRPr="002D0203" w:rsidRDefault="00DF4A2E" w:rsidP="009D7B59">
            <w:pPr>
              <w:jc w:val="center"/>
              <w:rPr>
                <w:rFonts w:ascii="Arial" w:hAnsi="Arial" w:cs="Arial"/>
                <w:sz w:val="20"/>
                <w:szCs w:val="20"/>
              </w:rPr>
            </w:pPr>
          </w:p>
        </w:tc>
        <w:tc>
          <w:tcPr>
            <w:tcW w:w="1355" w:type="dxa"/>
            <w:vAlign w:val="center"/>
          </w:tcPr>
          <w:p w14:paraId="5718521D" w14:textId="77777777" w:rsidR="009D7B59" w:rsidRDefault="00DF4A2E" w:rsidP="009D7B59">
            <w:pPr>
              <w:jc w:val="center"/>
              <w:rPr>
                <w:rFonts w:ascii="Arial" w:hAnsi="Arial" w:cs="Arial"/>
                <w:sz w:val="20"/>
                <w:szCs w:val="20"/>
              </w:rPr>
            </w:pPr>
            <w:r>
              <w:rPr>
                <w:rFonts w:ascii="Arial" w:hAnsi="Arial" w:cs="Arial"/>
                <w:sz w:val="20"/>
                <w:szCs w:val="20"/>
              </w:rPr>
              <w:t>0,031</w:t>
            </w:r>
          </w:p>
          <w:p w14:paraId="3D96F02F" w14:textId="74C8D174" w:rsidR="00DF4A2E" w:rsidRPr="002D0203" w:rsidRDefault="00DF4A2E" w:rsidP="009D7B59">
            <w:pPr>
              <w:jc w:val="center"/>
              <w:rPr>
                <w:rFonts w:ascii="Arial" w:hAnsi="Arial" w:cs="Arial"/>
                <w:sz w:val="20"/>
                <w:szCs w:val="20"/>
              </w:rPr>
            </w:pPr>
          </w:p>
        </w:tc>
        <w:tc>
          <w:tcPr>
            <w:tcW w:w="1356" w:type="dxa"/>
            <w:vAlign w:val="center"/>
          </w:tcPr>
          <w:p w14:paraId="68D2E274" w14:textId="77777777" w:rsidR="009D7B59" w:rsidRDefault="00DF4A2E" w:rsidP="009D7B59">
            <w:pPr>
              <w:jc w:val="center"/>
              <w:rPr>
                <w:rFonts w:ascii="Arial" w:hAnsi="Arial" w:cs="Arial"/>
                <w:sz w:val="20"/>
                <w:szCs w:val="20"/>
              </w:rPr>
            </w:pPr>
            <w:r>
              <w:rPr>
                <w:rFonts w:ascii="Arial" w:hAnsi="Arial" w:cs="Arial"/>
                <w:sz w:val="20"/>
                <w:szCs w:val="20"/>
              </w:rPr>
              <w:t>0,071</w:t>
            </w:r>
          </w:p>
          <w:p w14:paraId="6289057A" w14:textId="41A4C2D3" w:rsidR="00DF4A2E" w:rsidRPr="002D0203" w:rsidRDefault="00DF4A2E" w:rsidP="009D7B59">
            <w:pPr>
              <w:jc w:val="center"/>
              <w:rPr>
                <w:rFonts w:ascii="Arial" w:hAnsi="Arial" w:cs="Arial"/>
                <w:sz w:val="20"/>
                <w:szCs w:val="20"/>
              </w:rPr>
            </w:pPr>
          </w:p>
        </w:tc>
        <w:tc>
          <w:tcPr>
            <w:tcW w:w="1547" w:type="dxa"/>
            <w:vAlign w:val="center"/>
          </w:tcPr>
          <w:p w14:paraId="26DE89EB" w14:textId="77777777" w:rsidR="009D7B59" w:rsidRDefault="005B245B" w:rsidP="009D7B59">
            <w:pPr>
              <w:jc w:val="center"/>
              <w:rPr>
                <w:rFonts w:ascii="Arial" w:hAnsi="Arial" w:cs="Arial"/>
                <w:sz w:val="20"/>
                <w:szCs w:val="20"/>
              </w:rPr>
            </w:pPr>
            <w:r>
              <w:rPr>
                <w:rFonts w:ascii="Arial" w:hAnsi="Arial" w:cs="Arial"/>
                <w:sz w:val="20"/>
                <w:szCs w:val="20"/>
              </w:rPr>
              <w:t>0,093</w:t>
            </w:r>
          </w:p>
          <w:p w14:paraId="3DA40152" w14:textId="0313BA4B" w:rsidR="005B245B" w:rsidRPr="002D0203" w:rsidRDefault="005B245B" w:rsidP="009D7B59">
            <w:pPr>
              <w:jc w:val="center"/>
              <w:rPr>
                <w:rFonts w:ascii="Arial" w:hAnsi="Arial" w:cs="Arial"/>
                <w:sz w:val="20"/>
                <w:szCs w:val="20"/>
              </w:rPr>
            </w:pPr>
          </w:p>
        </w:tc>
      </w:tr>
      <w:tr w:rsidR="009D7B59" w14:paraId="0522B9CF" w14:textId="77777777" w:rsidTr="009D7B59">
        <w:tc>
          <w:tcPr>
            <w:tcW w:w="1520" w:type="dxa"/>
            <w:vAlign w:val="center"/>
          </w:tcPr>
          <w:p w14:paraId="53BE65BC" w14:textId="24CBA806" w:rsidR="009D7B59" w:rsidRPr="002D0203" w:rsidRDefault="009D7B59" w:rsidP="009D7B59">
            <w:pPr>
              <w:spacing w:line="360" w:lineRule="auto"/>
              <w:jc w:val="both"/>
              <w:rPr>
                <w:rFonts w:ascii="Arial" w:hAnsi="Arial" w:cs="Arial"/>
                <w:sz w:val="20"/>
                <w:szCs w:val="20"/>
              </w:rPr>
            </w:pPr>
            <w:r>
              <w:rPr>
                <w:rFonts w:ascii="Arial" w:hAnsi="Arial" w:cs="Arial"/>
                <w:sz w:val="20"/>
                <w:szCs w:val="20"/>
              </w:rPr>
              <w:t>SE – C</w:t>
            </w:r>
          </w:p>
        </w:tc>
        <w:tc>
          <w:tcPr>
            <w:tcW w:w="1355" w:type="dxa"/>
            <w:vAlign w:val="center"/>
          </w:tcPr>
          <w:p w14:paraId="01FDD4DC" w14:textId="77777777" w:rsidR="009D7B59" w:rsidRDefault="009D7B59" w:rsidP="009D7B59">
            <w:pPr>
              <w:jc w:val="center"/>
              <w:rPr>
                <w:rFonts w:ascii="Arial" w:hAnsi="Arial" w:cs="Arial"/>
                <w:sz w:val="20"/>
                <w:szCs w:val="20"/>
              </w:rPr>
            </w:pPr>
            <w:r>
              <w:rPr>
                <w:rFonts w:ascii="Arial" w:hAnsi="Arial" w:cs="Arial"/>
                <w:sz w:val="20"/>
                <w:szCs w:val="20"/>
              </w:rPr>
              <w:t>0,092</w:t>
            </w:r>
          </w:p>
          <w:p w14:paraId="3B367389" w14:textId="0F6DCA7D" w:rsidR="009D7B59" w:rsidRDefault="009D7B59" w:rsidP="009D7B59">
            <w:pPr>
              <w:jc w:val="center"/>
              <w:rPr>
                <w:rFonts w:ascii="Arial" w:hAnsi="Arial" w:cs="Arial"/>
                <w:sz w:val="20"/>
                <w:szCs w:val="20"/>
              </w:rPr>
            </w:pPr>
          </w:p>
        </w:tc>
        <w:tc>
          <w:tcPr>
            <w:tcW w:w="1355" w:type="dxa"/>
            <w:vAlign w:val="center"/>
          </w:tcPr>
          <w:p w14:paraId="63198399" w14:textId="77777777" w:rsidR="009D7B59" w:rsidRDefault="00DF4A2E" w:rsidP="009D7B59">
            <w:pPr>
              <w:jc w:val="center"/>
              <w:rPr>
                <w:rFonts w:ascii="Arial" w:hAnsi="Arial" w:cs="Arial"/>
                <w:sz w:val="20"/>
                <w:szCs w:val="20"/>
              </w:rPr>
            </w:pPr>
            <w:r>
              <w:rPr>
                <w:rFonts w:ascii="Arial" w:hAnsi="Arial" w:cs="Arial"/>
                <w:sz w:val="20"/>
                <w:szCs w:val="20"/>
              </w:rPr>
              <w:t>0,025</w:t>
            </w:r>
          </w:p>
          <w:p w14:paraId="66EA6A82" w14:textId="0733A3A4" w:rsidR="00DF4A2E" w:rsidRPr="002D0203" w:rsidRDefault="00DF4A2E" w:rsidP="009D7B59">
            <w:pPr>
              <w:jc w:val="center"/>
              <w:rPr>
                <w:rFonts w:ascii="Arial" w:hAnsi="Arial" w:cs="Arial"/>
                <w:sz w:val="20"/>
                <w:szCs w:val="20"/>
              </w:rPr>
            </w:pPr>
          </w:p>
        </w:tc>
        <w:tc>
          <w:tcPr>
            <w:tcW w:w="1355" w:type="dxa"/>
            <w:vAlign w:val="center"/>
          </w:tcPr>
          <w:p w14:paraId="1CAED5C8" w14:textId="77777777" w:rsidR="009D7B59" w:rsidRDefault="00DF4A2E" w:rsidP="009D7B59">
            <w:pPr>
              <w:jc w:val="center"/>
              <w:rPr>
                <w:rFonts w:ascii="Arial" w:hAnsi="Arial" w:cs="Arial"/>
                <w:sz w:val="20"/>
                <w:szCs w:val="20"/>
              </w:rPr>
            </w:pPr>
            <w:r>
              <w:rPr>
                <w:rFonts w:ascii="Arial" w:hAnsi="Arial" w:cs="Arial"/>
                <w:sz w:val="20"/>
                <w:szCs w:val="20"/>
              </w:rPr>
              <w:t>0,018</w:t>
            </w:r>
          </w:p>
          <w:p w14:paraId="391FBD4D" w14:textId="10620D8F" w:rsidR="00DF4A2E" w:rsidRPr="002D0203" w:rsidRDefault="00DF4A2E" w:rsidP="009D7B59">
            <w:pPr>
              <w:jc w:val="center"/>
              <w:rPr>
                <w:rFonts w:ascii="Arial" w:hAnsi="Arial" w:cs="Arial"/>
                <w:sz w:val="20"/>
                <w:szCs w:val="20"/>
              </w:rPr>
            </w:pPr>
          </w:p>
        </w:tc>
        <w:tc>
          <w:tcPr>
            <w:tcW w:w="1356" w:type="dxa"/>
            <w:vAlign w:val="center"/>
          </w:tcPr>
          <w:p w14:paraId="40993D91" w14:textId="77777777" w:rsidR="009D7B59" w:rsidRDefault="00DF4A2E" w:rsidP="009D7B59">
            <w:pPr>
              <w:jc w:val="center"/>
              <w:rPr>
                <w:rFonts w:ascii="Arial" w:hAnsi="Arial" w:cs="Arial"/>
                <w:sz w:val="20"/>
                <w:szCs w:val="20"/>
              </w:rPr>
            </w:pPr>
            <w:r>
              <w:rPr>
                <w:rFonts w:ascii="Arial" w:hAnsi="Arial" w:cs="Arial"/>
                <w:sz w:val="20"/>
                <w:szCs w:val="20"/>
              </w:rPr>
              <w:t>0,054</w:t>
            </w:r>
          </w:p>
          <w:p w14:paraId="5DCC721F" w14:textId="50DCC5B3" w:rsidR="00DF4A2E" w:rsidRPr="002D0203" w:rsidRDefault="00DF4A2E" w:rsidP="009D7B59">
            <w:pPr>
              <w:jc w:val="center"/>
              <w:rPr>
                <w:rFonts w:ascii="Arial" w:hAnsi="Arial" w:cs="Arial"/>
                <w:sz w:val="20"/>
                <w:szCs w:val="20"/>
              </w:rPr>
            </w:pPr>
          </w:p>
        </w:tc>
        <w:tc>
          <w:tcPr>
            <w:tcW w:w="1547" w:type="dxa"/>
            <w:vAlign w:val="center"/>
          </w:tcPr>
          <w:p w14:paraId="2A8B127A" w14:textId="77777777" w:rsidR="009D7B59" w:rsidRDefault="005B245B" w:rsidP="009D7B59">
            <w:pPr>
              <w:jc w:val="center"/>
              <w:rPr>
                <w:rFonts w:ascii="Arial" w:hAnsi="Arial" w:cs="Arial"/>
                <w:sz w:val="20"/>
                <w:szCs w:val="20"/>
              </w:rPr>
            </w:pPr>
            <w:r>
              <w:rPr>
                <w:rFonts w:ascii="Arial" w:hAnsi="Arial" w:cs="Arial"/>
                <w:sz w:val="20"/>
                <w:szCs w:val="20"/>
              </w:rPr>
              <w:t>0,092</w:t>
            </w:r>
          </w:p>
          <w:p w14:paraId="2D6B36D1" w14:textId="328B716C" w:rsidR="005B245B" w:rsidRPr="002D0203" w:rsidRDefault="005B245B" w:rsidP="009D7B59">
            <w:pPr>
              <w:jc w:val="center"/>
              <w:rPr>
                <w:rFonts w:ascii="Arial" w:hAnsi="Arial" w:cs="Arial"/>
                <w:sz w:val="20"/>
                <w:szCs w:val="20"/>
              </w:rPr>
            </w:pPr>
          </w:p>
        </w:tc>
      </w:tr>
      <w:tr w:rsidR="009D7B59" w14:paraId="38EC9638" w14:textId="77777777" w:rsidTr="009D7B59">
        <w:tc>
          <w:tcPr>
            <w:tcW w:w="1520" w:type="dxa"/>
            <w:vAlign w:val="center"/>
          </w:tcPr>
          <w:p w14:paraId="203EF16C" w14:textId="77777777" w:rsidR="009D7B59" w:rsidRDefault="009D7B59" w:rsidP="009D7B59">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p>
        </w:tc>
        <w:tc>
          <w:tcPr>
            <w:tcW w:w="1355" w:type="dxa"/>
            <w:vAlign w:val="center"/>
          </w:tcPr>
          <w:p w14:paraId="6CBEF109" w14:textId="77777777" w:rsidR="009D7B59" w:rsidRDefault="009D7B59" w:rsidP="009D7B59">
            <w:pPr>
              <w:jc w:val="center"/>
              <w:rPr>
                <w:rFonts w:ascii="Arial" w:hAnsi="Arial" w:cs="Arial"/>
                <w:sz w:val="20"/>
                <w:szCs w:val="20"/>
              </w:rPr>
            </w:pPr>
            <w:r>
              <w:rPr>
                <w:rFonts w:ascii="Arial" w:hAnsi="Arial" w:cs="Arial"/>
                <w:sz w:val="20"/>
                <w:szCs w:val="20"/>
              </w:rPr>
              <w:t>0,220</w:t>
            </w:r>
          </w:p>
          <w:p w14:paraId="5B89913D" w14:textId="18360DDF" w:rsidR="009D7B59" w:rsidRDefault="009D7B59" w:rsidP="009D7B59">
            <w:pPr>
              <w:jc w:val="center"/>
              <w:rPr>
                <w:rFonts w:ascii="Arial" w:hAnsi="Arial" w:cs="Arial"/>
                <w:sz w:val="20"/>
                <w:szCs w:val="20"/>
              </w:rPr>
            </w:pPr>
          </w:p>
        </w:tc>
        <w:tc>
          <w:tcPr>
            <w:tcW w:w="1355" w:type="dxa"/>
            <w:vAlign w:val="center"/>
          </w:tcPr>
          <w:p w14:paraId="5075D2F0" w14:textId="77777777" w:rsidR="009D7B59" w:rsidRDefault="00DF4A2E" w:rsidP="009D7B59">
            <w:pPr>
              <w:jc w:val="center"/>
              <w:rPr>
                <w:rFonts w:ascii="Arial" w:hAnsi="Arial" w:cs="Arial"/>
                <w:sz w:val="20"/>
                <w:szCs w:val="20"/>
              </w:rPr>
            </w:pPr>
            <w:r>
              <w:rPr>
                <w:rFonts w:ascii="Arial" w:hAnsi="Arial" w:cs="Arial"/>
                <w:sz w:val="20"/>
                <w:szCs w:val="20"/>
              </w:rPr>
              <w:t>0,207</w:t>
            </w:r>
          </w:p>
          <w:p w14:paraId="54DF0463" w14:textId="4901430B" w:rsidR="00DF4A2E" w:rsidRPr="002D0203" w:rsidRDefault="00DF4A2E" w:rsidP="009D7B59">
            <w:pPr>
              <w:jc w:val="center"/>
              <w:rPr>
                <w:rFonts w:ascii="Arial" w:hAnsi="Arial" w:cs="Arial"/>
                <w:sz w:val="20"/>
                <w:szCs w:val="20"/>
              </w:rPr>
            </w:pPr>
          </w:p>
        </w:tc>
        <w:tc>
          <w:tcPr>
            <w:tcW w:w="1355" w:type="dxa"/>
            <w:vAlign w:val="center"/>
          </w:tcPr>
          <w:p w14:paraId="2E04B17C" w14:textId="77777777" w:rsidR="009D7B59" w:rsidRDefault="00DF4A2E" w:rsidP="009D7B59">
            <w:pPr>
              <w:jc w:val="center"/>
              <w:rPr>
                <w:rFonts w:ascii="Arial" w:hAnsi="Arial" w:cs="Arial"/>
                <w:sz w:val="20"/>
                <w:szCs w:val="20"/>
              </w:rPr>
            </w:pPr>
            <w:r>
              <w:rPr>
                <w:rFonts w:ascii="Arial" w:hAnsi="Arial" w:cs="Arial"/>
                <w:sz w:val="20"/>
                <w:szCs w:val="20"/>
              </w:rPr>
              <w:t>0,209</w:t>
            </w:r>
          </w:p>
          <w:p w14:paraId="540355DD" w14:textId="1545B385" w:rsidR="00DF4A2E" w:rsidRPr="002D0203" w:rsidRDefault="00DF4A2E" w:rsidP="009D7B59">
            <w:pPr>
              <w:jc w:val="center"/>
              <w:rPr>
                <w:rFonts w:ascii="Arial" w:hAnsi="Arial" w:cs="Arial"/>
                <w:sz w:val="20"/>
                <w:szCs w:val="20"/>
              </w:rPr>
            </w:pPr>
          </w:p>
        </w:tc>
        <w:tc>
          <w:tcPr>
            <w:tcW w:w="1356" w:type="dxa"/>
            <w:vAlign w:val="center"/>
          </w:tcPr>
          <w:p w14:paraId="415B0F00" w14:textId="77777777" w:rsidR="009D7B59" w:rsidRDefault="00DF4A2E" w:rsidP="009D7B59">
            <w:pPr>
              <w:jc w:val="center"/>
              <w:rPr>
                <w:rFonts w:ascii="Arial" w:hAnsi="Arial" w:cs="Arial"/>
                <w:sz w:val="20"/>
                <w:szCs w:val="20"/>
              </w:rPr>
            </w:pPr>
            <w:r>
              <w:rPr>
                <w:rFonts w:ascii="Arial" w:hAnsi="Arial" w:cs="Arial"/>
                <w:sz w:val="20"/>
                <w:szCs w:val="20"/>
              </w:rPr>
              <w:t>0,211</w:t>
            </w:r>
          </w:p>
          <w:p w14:paraId="2472181E" w14:textId="1D11724F" w:rsidR="00DF4A2E" w:rsidRPr="002D0203" w:rsidRDefault="00DF4A2E" w:rsidP="009D7B59">
            <w:pPr>
              <w:jc w:val="center"/>
              <w:rPr>
                <w:rFonts w:ascii="Arial" w:hAnsi="Arial" w:cs="Arial"/>
                <w:sz w:val="20"/>
                <w:szCs w:val="20"/>
              </w:rPr>
            </w:pPr>
          </w:p>
        </w:tc>
        <w:tc>
          <w:tcPr>
            <w:tcW w:w="1547" w:type="dxa"/>
            <w:vAlign w:val="center"/>
          </w:tcPr>
          <w:p w14:paraId="44B86DA8" w14:textId="77777777" w:rsidR="009D7B59" w:rsidRDefault="005B245B" w:rsidP="009D7B59">
            <w:pPr>
              <w:jc w:val="center"/>
              <w:rPr>
                <w:rFonts w:ascii="Arial" w:hAnsi="Arial" w:cs="Arial"/>
                <w:sz w:val="20"/>
                <w:szCs w:val="20"/>
              </w:rPr>
            </w:pPr>
            <w:r>
              <w:rPr>
                <w:rFonts w:ascii="Arial" w:hAnsi="Arial" w:cs="Arial"/>
                <w:sz w:val="20"/>
                <w:szCs w:val="20"/>
              </w:rPr>
              <w:t>0,224</w:t>
            </w:r>
          </w:p>
          <w:p w14:paraId="43CD601A" w14:textId="5D5298B0" w:rsidR="005B245B" w:rsidRPr="002D0203" w:rsidRDefault="005B245B" w:rsidP="009D7B59">
            <w:pPr>
              <w:jc w:val="center"/>
              <w:rPr>
                <w:rFonts w:ascii="Arial" w:hAnsi="Arial" w:cs="Arial"/>
                <w:sz w:val="20"/>
                <w:szCs w:val="20"/>
              </w:rPr>
            </w:pPr>
          </w:p>
        </w:tc>
      </w:tr>
      <w:tr w:rsidR="009D7B59" w14:paraId="4224DD7B" w14:textId="77777777" w:rsidTr="009D7B59">
        <w:tc>
          <w:tcPr>
            <w:tcW w:w="1520" w:type="dxa"/>
            <w:vAlign w:val="center"/>
          </w:tcPr>
          <w:p w14:paraId="674BB4D6" w14:textId="77777777" w:rsidR="009D7B59" w:rsidRPr="002D0203" w:rsidRDefault="009D7B59" w:rsidP="009D7B59">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r>
              <w:rPr>
                <w:rFonts w:ascii="Arial" w:hAnsi="Arial" w:cs="Arial"/>
                <w:sz w:val="20"/>
                <w:szCs w:val="20"/>
              </w:rPr>
              <w:t xml:space="preserve"> ajustado</w:t>
            </w:r>
          </w:p>
        </w:tc>
        <w:tc>
          <w:tcPr>
            <w:tcW w:w="1355" w:type="dxa"/>
            <w:vAlign w:val="center"/>
          </w:tcPr>
          <w:p w14:paraId="5E65756B" w14:textId="46091911" w:rsidR="009D7B59" w:rsidRDefault="009D7B59" w:rsidP="009D7B59">
            <w:pPr>
              <w:jc w:val="center"/>
              <w:rPr>
                <w:rFonts w:ascii="Arial" w:hAnsi="Arial" w:cs="Arial"/>
                <w:sz w:val="20"/>
                <w:szCs w:val="20"/>
              </w:rPr>
            </w:pPr>
            <w:r>
              <w:rPr>
                <w:rFonts w:ascii="Arial" w:hAnsi="Arial" w:cs="Arial"/>
                <w:sz w:val="20"/>
                <w:szCs w:val="20"/>
              </w:rPr>
              <w:t>0,160</w:t>
            </w:r>
          </w:p>
        </w:tc>
        <w:tc>
          <w:tcPr>
            <w:tcW w:w="1355" w:type="dxa"/>
            <w:vAlign w:val="center"/>
          </w:tcPr>
          <w:p w14:paraId="7556777D" w14:textId="0AE769FE" w:rsidR="009D7B59" w:rsidRPr="002D0203" w:rsidRDefault="00DF4A2E" w:rsidP="009D7B59">
            <w:pPr>
              <w:jc w:val="center"/>
              <w:rPr>
                <w:rFonts w:ascii="Arial" w:hAnsi="Arial" w:cs="Arial"/>
                <w:sz w:val="20"/>
                <w:szCs w:val="20"/>
              </w:rPr>
            </w:pPr>
            <w:r>
              <w:rPr>
                <w:rFonts w:ascii="Arial" w:hAnsi="Arial" w:cs="Arial"/>
                <w:sz w:val="20"/>
                <w:szCs w:val="20"/>
              </w:rPr>
              <w:t>0,145</w:t>
            </w:r>
          </w:p>
        </w:tc>
        <w:tc>
          <w:tcPr>
            <w:tcW w:w="1355" w:type="dxa"/>
            <w:vAlign w:val="center"/>
          </w:tcPr>
          <w:p w14:paraId="1132ECA6" w14:textId="76F19E16" w:rsidR="009D7B59" w:rsidRPr="002D0203" w:rsidRDefault="00DF4A2E" w:rsidP="009D7B59">
            <w:pPr>
              <w:jc w:val="center"/>
              <w:rPr>
                <w:rFonts w:ascii="Arial" w:hAnsi="Arial" w:cs="Arial"/>
                <w:sz w:val="20"/>
                <w:szCs w:val="20"/>
              </w:rPr>
            </w:pPr>
            <w:r>
              <w:rPr>
                <w:rFonts w:ascii="Arial" w:hAnsi="Arial" w:cs="Arial"/>
                <w:sz w:val="20"/>
                <w:szCs w:val="20"/>
              </w:rPr>
              <w:t>0,147</w:t>
            </w:r>
          </w:p>
        </w:tc>
        <w:tc>
          <w:tcPr>
            <w:tcW w:w="1356" w:type="dxa"/>
            <w:vAlign w:val="center"/>
          </w:tcPr>
          <w:p w14:paraId="69AD680E" w14:textId="0B2BEA92" w:rsidR="009D7B59" w:rsidRPr="002D0203" w:rsidRDefault="00DF4A2E" w:rsidP="009D7B59">
            <w:pPr>
              <w:jc w:val="center"/>
              <w:rPr>
                <w:rFonts w:ascii="Arial" w:hAnsi="Arial" w:cs="Arial"/>
                <w:sz w:val="20"/>
                <w:szCs w:val="20"/>
              </w:rPr>
            </w:pPr>
            <w:r>
              <w:rPr>
                <w:rFonts w:ascii="Arial" w:hAnsi="Arial" w:cs="Arial"/>
                <w:sz w:val="20"/>
                <w:szCs w:val="20"/>
              </w:rPr>
              <w:t>0,150</w:t>
            </w:r>
          </w:p>
        </w:tc>
        <w:tc>
          <w:tcPr>
            <w:tcW w:w="1547" w:type="dxa"/>
            <w:vAlign w:val="center"/>
          </w:tcPr>
          <w:p w14:paraId="3C7DD36D" w14:textId="1A81E22A" w:rsidR="009D7B59" w:rsidRPr="002D0203" w:rsidRDefault="005B245B" w:rsidP="009D7B59">
            <w:pPr>
              <w:jc w:val="center"/>
              <w:rPr>
                <w:rFonts w:ascii="Arial" w:hAnsi="Arial" w:cs="Arial"/>
                <w:sz w:val="20"/>
                <w:szCs w:val="20"/>
              </w:rPr>
            </w:pPr>
            <w:r>
              <w:rPr>
                <w:rFonts w:ascii="Arial" w:hAnsi="Arial" w:cs="Arial"/>
                <w:sz w:val="20"/>
                <w:szCs w:val="20"/>
              </w:rPr>
              <w:t>0,153</w:t>
            </w:r>
          </w:p>
        </w:tc>
      </w:tr>
    </w:tbl>
    <w:p w14:paraId="12454F23" w14:textId="128F2384" w:rsidR="003343E0" w:rsidRPr="00D64A9C" w:rsidRDefault="003343E0" w:rsidP="003343E0">
      <w:pPr>
        <w:jc w:val="both"/>
        <w:rPr>
          <w:rFonts w:ascii="Arial" w:hAnsi="Arial" w:cs="Arial"/>
          <w:sz w:val="20"/>
          <w:szCs w:val="20"/>
        </w:rPr>
      </w:pPr>
      <w:r w:rsidRPr="00D64A9C">
        <w:rPr>
          <w:rFonts w:ascii="Arial" w:hAnsi="Arial" w:cs="Arial"/>
          <w:b/>
          <w:sz w:val="20"/>
          <w:szCs w:val="20"/>
        </w:rPr>
        <w:t>Fonte:</w:t>
      </w:r>
      <w:r w:rsidRPr="00D64A9C">
        <w:rPr>
          <w:rFonts w:ascii="Arial" w:hAnsi="Arial" w:cs="Arial"/>
          <w:sz w:val="20"/>
          <w:szCs w:val="20"/>
        </w:rPr>
        <w:t xml:space="preserve"> elaboração própria. Dados amostrais anuais (ajustados): 1995 2014. Número de observações: 20 depois dos ajustes. Número de cortes transversais: 9. Total de observações (balanceadas): 180</w:t>
      </w:r>
    </w:p>
    <w:p w14:paraId="5553EC5F" w14:textId="07F9A14C" w:rsidR="00396B14" w:rsidRPr="00D64A9C" w:rsidRDefault="003343E0" w:rsidP="003343E0">
      <w:pPr>
        <w:jc w:val="both"/>
        <w:rPr>
          <w:rFonts w:ascii="Arial" w:hAnsi="Arial" w:cs="Arial"/>
          <w:sz w:val="20"/>
          <w:szCs w:val="20"/>
        </w:rPr>
      </w:pPr>
      <w:r w:rsidRPr="00D64A9C">
        <w:rPr>
          <w:rFonts w:ascii="Arial" w:hAnsi="Arial" w:cs="Arial"/>
          <w:sz w:val="20"/>
          <w:szCs w:val="20"/>
        </w:rPr>
        <w:t xml:space="preserve"> </w:t>
      </w:r>
      <w:r w:rsidRPr="00D64A9C">
        <w:rPr>
          <w:rFonts w:ascii="Arial" w:hAnsi="Arial" w:cs="Arial"/>
          <w:b/>
          <w:sz w:val="20"/>
          <w:szCs w:val="20"/>
        </w:rPr>
        <w:t>Nota:</w:t>
      </w:r>
      <w:r w:rsidRPr="00D64A9C">
        <w:rPr>
          <w:rFonts w:ascii="Arial" w:hAnsi="Arial" w:cs="Arial"/>
          <w:sz w:val="20"/>
          <w:szCs w:val="20"/>
        </w:rPr>
        <w:t xml:space="preserve"> (a), (b) e (c) indicam que os coeficientes estimados são estatisticamente significantes ou rejeição da hipótese nula ao nível de significância de 1%, 5% e 10%, respectivamente. Os valores em parênteses são as estatísticas </w:t>
      </w:r>
      <w:r w:rsidRPr="00D64A9C">
        <w:rPr>
          <w:rFonts w:ascii="Arial" w:hAnsi="Arial" w:cs="Arial"/>
          <w:i/>
          <w:sz w:val="20"/>
          <w:szCs w:val="20"/>
        </w:rPr>
        <w:t xml:space="preserve">t </w:t>
      </w:r>
      <w:r w:rsidRPr="00D64A9C">
        <w:rPr>
          <w:rFonts w:ascii="Arial" w:hAnsi="Arial" w:cs="Arial"/>
          <w:sz w:val="20"/>
          <w:szCs w:val="20"/>
        </w:rPr>
        <w:t>de Student.</w:t>
      </w:r>
    </w:p>
    <w:p w14:paraId="133FC0E1" w14:textId="369C5CF3" w:rsidR="00455736" w:rsidRDefault="00BF70E9" w:rsidP="00455736">
      <w:pPr>
        <w:spacing w:line="360" w:lineRule="auto"/>
        <w:jc w:val="both"/>
        <w:rPr>
          <w:rFonts w:ascii="Arial" w:hAnsi="Arial" w:cs="Arial"/>
        </w:rPr>
      </w:pPr>
      <w:r>
        <w:rPr>
          <w:rFonts w:ascii="Arial" w:hAnsi="Arial" w:cs="Arial"/>
        </w:rPr>
        <w:lastRenderedPageBreak/>
        <w:tab/>
        <w:t>No que diz respeito à Região Nordeste, novamente o Indicador 1 apresentou coeficiente positivo e significância estatística ao nível de 10%, resultados observados tanto no Modelo 1 quanto no Modelo geral, que avalia os Indicadores 1, 2 e 3 simultaneamente. Novamente, evidência de que a descentralização fiscal de renda é fator que contribui positivamente para o crescimento econômico na região.</w:t>
      </w:r>
    </w:p>
    <w:p w14:paraId="27A695BE" w14:textId="6114A5D3" w:rsidR="00BF70E9" w:rsidRDefault="00BF70E9" w:rsidP="00455736">
      <w:pPr>
        <w:spacing w:line="360" w:lineRule="auto"/>
        <w:jc w:val="both"/>
        <w:rPr>
          <w:rFonts w:ascii="Arial" w:hAnsi="Arial" w:cs="Arial"/>
        </w:rPr>
      </w:pPr>
      <w:r>
        <w:rPr>
          <w:rFonts w:ascii="Arial" w:hAnsi="Arial" w:cs="Arial"/>
        </w:rPr>
        <w:tab/>
        <w:t>Para todos os modelos o Índice de Gini foi significativo ao nível de 1% e com coeficientes negativos, de acordo com a expectativa inicial com o trabalho de Xie, Zou e Davoodi (1999), ou seja, na Região Nordeste a redução da concentração de renda contribui para o desenvolvimento econômico. Pode significar que com maior equidade na distribuição de riqueza o incentivo para o trabalho aumente e em decorrência disto a produção de renda na região aumente.</w:t>
      </w:r>
    </w:p>
    <w:p w14:paraId="702A7EC5" w14:textId="3AEDCBF0" w:rsidR="00B1386D" w:rsidRDefault="00B1386D" w:rsidP="00455736">
      <w:pPr>
        <w:spacing w:line="360" w:lineRule="auto"/>
        <w:jc w:val="both"/>
        <w:rPr>
          <w:rFonts w:ascii="Arial" w:hAnsi="Arial" w:cs="Arial"/>
        </w:rPr>
      </w:pPr>
      <w:r>
        <w:rPr>
          <w:rFonts w:ascii="Arial" w:hAnsi="Arial" w:cs="Arial"/>
        </w:rPr>
        <w:tab/>
        <w:t>Acerca das Taxas de Analfabetismo e Mortalidade Infantil, foram encontrados coeficientes positivos e significativos aos níveis de 1 e 5% para todos os modelos analisados. Mais uma vez um resultado não esperado, indicativo de que os</w:t>
      </w:r>
      <w:r w:rsidR="00806B09">
        <w:rPr>
          <w:rFonts w:ascii="Arial" w:hAnsi="Arial" w:cs="Arial"/>
        </w:rPr>
        <w:t xml:space="preserve"> dados utilizados podem não ser boas formas de mensurar os níveis de educação e saúde na região.</w:t>
      </w:r>
    </w:p>
    <w:p w14:paraId="4FB590A0" w14:textId="37230742" w:rsidR="00806B09" w:rsidRDefault="00806B09" w:rsidP="00455736">
      <w:pPr>
        <w:spacing w:line="360" w:lineRule="auto"/>
        <w:jc w:val="both"/>
        <w:rPr>
          <w:rFonts w:ascii="Arial" w:hAnsi="Arial" w:cs="Arial"/>
        </w:rPr>
      </w:pPr>
      <w:r>
        <w:rPr>
          <w:rFonts w:ascii="Arial" w:hAnsi="Arial" w:cs="Arial"/>
        </w:rPr>
        <w:tab/>
        <w:t>Taxa de Homicídios e os Indicadores 2, 3 e 4 não apresentaram contribuição significativa para o crescimento econômico na região no período analisado.</w:t>
      </w:r>
    </w:p>
    <w:p w14:paraId="55DA4F2F" w14:textId="77777777" w:rsidR="00806B09" w:rsidRDefault="00806B09">
      <w:pPr>
        <w:rPr>
          <w:rFonts w:ascii="Arial" w:hAnsi="Arial" w:cs="Arial"/>
        </w:rPr>
      </w:pPr>
      <w:r>
        <w:rPr>
          <w:rFonts w:ascii="Arial" w:hAnsi="Arial" w:cs="Arial"/>
        </w:rPr>
        <w:br w:type="page"/>
      </w:r>
    </w:p>
    <w:p w14:paraId="142F4254" w14:textId="7AC9E5A6" w:rsidR="00CE5F6A" w:rsidRPr="00194250" w:rsidRDefault="004E0034" w:rsidP="00CE5F6A">
      <w:pPr>
        <w:jc w:val="both"/>
        <w:rPr>
          <w:rFonts w:ascii="Arial" w:hAnsi="Arial" w:cs="Arial"/>
          <w:sz w:val="20"/>
          <w:szCs w:val="20"/>
        </w:rPr>
      </w:pPr>
      <w:r>
        <w:rPr>
          <w:rFonts w:ascii="Arial" w:hAnsi="Arial" w:cs="Arial"/>
          <w:b/>
        </w:rPr>
        <w:lastRenderedPageBreak/>
        <w:t>Tabela 6</w:t>
      </w:r>
      <w:r w:rsidR="00CE5F6A" w:rsidRPr="003343E0">
        <w:rPr>
          <w:rFonts w:ascii="Arial" w:hAnsi="Arial" w:cs="Arial"/>
          <w:b/>
        </w:rPr>
        <w:t xml:space="preserve"> – </w:t>
      </w:r>
      <w:r w:rsidR="00CE5F6A" w:rsidRPr="003343E0">
        <w:rPr>
          <w:rFonts w:ascii="Arial" w:hAnsi="Arial" w:cs="Arial"/>
        </w:rPr>
        <w:t xml:space="preserve">Resultados econométricos. Modelo de Efeitos Fixos. Região Norte. Variável dependente: taxa de variação real do PIB </w:t>
      </w:r>
      <w:r w:rsidR="00CE5F6A" w:rsidRPr="003343E0">
        <w:rPr>
          <w:rFonts w:ascii="Arial" w:hAnsi="Arial" w:cs="Arial"/>
          <w:i/>
        </w:rPr>
        <w:t>per capita</w:t>
      </w:r>
      <w:r w:rsidR="00CE5F6A" w:rsidRPr="003343E0">
        <w:rPr>
          <w:rFonts w:ascii="Arial" w:hAnsi="Arial" w:cs="Arial"/>
        </w:rPr>
        <w:t>.</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355"/>
        <w:gridCol w:w="1355"/>
        <w:gridCol w:w="1355"/>
        <w:gridCol w:w="1356"/>
        <w:gridCol w:w="1547"/>
      </w:tblGrid>
      <w:tr w:rsidR="008F7C96" w14:paraId="7B0A068B" w14:textId="77777777" w:rsidTr="0002583C">
        <w:trPr>
          <w:trHeight w:val="70"/>
        </w:trPr>
        <w:tc>
          <w:tcPr>
            <w:tcW w:w="1520" w:type="dxa"/>
            <w:tcBorders>
              <w:top w:val="single" w:sz="4" w:space="0" w:color="auto"/>
              <w:bottom w:val="single" w:sz="4" w:space="0" w:color="auto"/>
            </w:tcBorders>
          </w:tcPr>
          <w:p w14:paraId="0048C823" w14:textId="77777777" w:rsidR="008F7C96" w:rsidRPr="002D0203" w:rsidRDefault="008F7C96" w:rsidP="0002583C">
            <w:pPr>
              <w:jc w:val="both"/>
              <w:rPr>
                <w:rFonts w:ascii="Arial" w:hAnsi="Arial" w:cs="Arial"/>
                <w:sz w:val="20"/>
                <w:szCs w:val="20"/>
              </w:rPr>
            </w:pPr>
            <w:r>
              <w:rPr>
                <w:rFonts w:ascii="Arial" w:hAnsi="Arial" w:cs="Arial"/>
                <w:sz w:val="20"/>
                <w:szCs w:val="20"/>
              </w:rPr>
              <w:t>Variável</w:t>
            </w:r>
          </w:p>
        </w:tc>
        <w:tc>
          <w:tcPr>
            <w:tcW w:w="1355" w:type="dxa"/>
            <w:tcBorders>
              <w:top w:val="single" w:sz="4" w:space="0" w:color="auto"/>
              <w:bottom w:val="single" w:sz="4" w:space="0" w:color="auto"/>
            </w:tcBorders>
          </w:tcPr>
          <w:p w14:paraId="0332910E" w14:textId="77777777" w:rsidR="008F7C96" w:rsidRPr="002D0203" w:rsidRDefault="008F7C96" w:rsidP="0002583C">
            <w:pPr>
              <w:jc w:val="center"/>
              <w:rPr>
                <w:rFonts w:ascii="Arial" w:hAnsi="Arial" w:cs="Arial"/>
                <w:sz w:val="20"/>
                <w:szCs w:val="20"/>
              </w:rPr>
            </w:pPr>
            <w:r w:rsidRPr="002D0203">
              <w:rPr>
                <w:rFonts w:ascii="Arial" w:hAnsi="Arial" w:cs="Arial"/>
                <w:sz w:val="20"/>
                <w:szCs w:val="20"/>
              </w:rPr>
              <w:t>Modelo 1</w:t>
            </w:r>
          </w:p>
        </w:tc>
        <w:tc>
          <w:tcPr>
            <w:tcW w:w="1355" w:type="dxa"/>
            <w:tcBorders>
              <w:top w:val="single" w:sz="4" w:space="0" w:color="auto"/>
              <w:bottom w:val="single" w:sz="4" w:space="0" w:color="auto"/>
            </w:tcBorders>
          </w:tcPr>
          <w:p w14:paraId="45F36B40" w14:textId="77777777" w:rsidR="008F7C96" w:rsidRPr="002D0203" w:rsidRDefault="008F7C96" w:rsidP="0002583C">
            <w:pPr>
              <w:jc w:val="center"/>
              <w:rPr>
                <w:rFonts w:ascii="Arial" w:hAnsi="Arial" w:cs="Arial"/>
                <w:sz w:val="20"/>
                <w:szCs w:val="20"/>
              </w:rPr>
            </w:pPr>
            <w:r w:rsidRPr="002D0203">
              <w:rPr>
                <w:rFonts w:ascii="Arial" w:hAnsi="Arial" w:cs="Arial"/>
                <w:sz w:val="20"/>
                <w:szCs w:val="20"/>
              </w:rPr>
              <w:t>Modelo 2</w:t>
            </w:r>
          </w:p>
        </w:tc>
        <w:tc>
          <w:tcPr>
            <w:tcW w:w="1355" w:type="dxa"/>
            <w:tcBorders>
              <w:top w:val="single" w:sz="4" w:space="0" w:color="auto"/>
              <w:bottom w:val="single" w:sz="4" w:space="0" w:color="auto"/>
            </w:tcBorders>
          </w:tcPr>
          <w:p w14:paraId="26666210" w14:textId="77777777" w:rsidR="008F7C96" w:rsidRPr="002D0203" w:rsidRDefault="008F7C96" w:rsidP="0002583C">
            <w:pPr>
              <w:jc w:val="center"/>
              <w:rPr>
                <w:rFonts w:ascii="Arial" w:hAnsi="Arial" w:cs="Arial"/>
                <w:sz w:val="20"/>
                <w:szCs w:val="20"/>
              </w:rPr>
            </w:pPr>
            <w:r w:rsidRPr="002D0203">
              <w:rPr>
                <w:rFonts w:ascii="Arial" w:hAnsi="Arial" w:cs="Arial"/>
                <w:sz w:val="20"/>
                <w:szCs w:val="20"/>
              </w:rPr>
              <w:t>Modelo 3</w:t>
            </w:r>
          </w:p>
        </w:tc>
        <w:tc>
          <w:tcPr>
            <w:tcW w:w="1356" w:type="dxa"/>
            <w:tcBorders>
              <w:top w:val="single" w:sz="4" w:space="0" w:color="auto"/>
              <w:bottom w:val="single" w:sz="4" w:space="0" w:color="auto"/>
            </w:tcBorders>
          </w:tcPr>
          <w:p w14:paraId="40CCC1F9" w14:textId="77777777" w:rsidR="008F7C96" w:rsidRPr="002D0203" w:rsidRDefault="008F7C96" w:rsidP="0002583C">
            <w:pPr>
              <w:jc w:val="center"/>
              <w:rPr>
                <w:rFonts w:ascii="Arial" w:hAnsi="Arial" w:cs="Arial"/>
                <w:sz w:val="20"/>
                <w:szCs w:val="20"/>
              </w:rPr>
            </w:pPr>
            <w:r w:rsidRPr="002D0203">
              <w:rPr>
                <w:rFonts w:ascii="Arial" w:hAnsi="Arial" w:cs="Arial"/>
                <w:sz w:val="20"/>
                <w:szCs w:val="20"/>
              </w:rPr>
              <w:t>Modelo 4</w:t>
            </w:r>
          </w:p>
        </w:tc>
        <w:tc>
          <w:tcPr>
            <w:tcW w:w="1547" w:type="dxa"/>
            <w:tcBorders>
              <w:top w:val="single" w:sz="4" w:space="0" w:color="auto"/>
              <w:bottom w:val="single" w:sz="4" w:space="0" w:color="auto"/>
            </w:tcBorders>
          </w:tcPr>
          <w:p w14:paraId="0A3A5636" w14:textId="77777777" w:rsidR="008F7C96" w:rsidRPr="002D0203" w:rsidRDefault="008F7C96" w:rsidP="0002583C">
            <w:pPr>
              <w:jc w:val="center"/>
              <w:rPr>
                <w:rFonts w:ascii="Arial" w:hAnsi="Arial" w:cs="Arial"/>
                <w:sz w:val="20"/>
                <w:szCs w:val="20"/>
              </w:rPr>
            </w:pPr>
            <w:r w:rsidRPr="002D0203">
              <w:rPr>
                <w:rFonts w:ascii="Arial" w:hAnsi="Arial" w:cs="Arial"/>
                <w:sz w:val="20"/>
                <w:szCs w:val="20"/>
              </w:rPr>
              <w:t>Modelo Geral</w:t>
            </w:r>
          </w:p>
        </w:tc>
      </w:tr>
      <w:tr w:rsidR="008F7C96" w14:paraId="3CE181A1" w14:textId="77777777" w:rsidTr="0002583C">
        <w:tc>
          <w:tcPr>
            <w:tcW w:w="1520" w:type="dxa"/>
            <w:tcBorders>
              <w:top w:val="single" w:sz="4" w:space="0" w:color="auto"/>
            </w:tcBorders>
            <w:vAlign w:val="center"/>
          </w:tcPr>
          <w:p w14:paraId="4AA9F3CA" w14:textId="77777777" w:rsidR="008F7C96" w:rsidRPr="002D0203" w:rsidRDefault="008F7C96" w:rsidP="0002583C">
            <w:pPr>
              <w:spacing w:line="360" w:lineRule="auto"/>
              <w:jc w:val="both"/>
              <w:rPr>
                <w:rFonts w:ascii="Arial" w:hAnsi="Arial" w:cs="Arial"/>
                <w:sz w:val="20"/>
                <w:szCs w:val="20"/>
              </w:rPr>
            </w:pPr>
            <w:r>
              <w:rPr>
                <w:rFonts w:ascii="Arial" w:hAnsi="Arial" w:cs="Arial"/>
                <w:sz w:val="20"/>
                <w:szCs w:val="20"/>
              </w:rPr>
              <w:t>C</w:t>
            </w:r>
          </w:p>
        </w:tc>
        <w:tc>
          <w:tcPr>
            <w:tcW w:w="1355" w:type="dxa"/>
            <w:tcBorders>
              <w:top w:val="single" w:sz="4" w:space="0" w:color="auto"/>
            </w:tcBorders>
            <w:vAlign w:val="center"/>
          </w:tcPr>
          <w:p w14:paraId="46B977AF" w14:textId="77777777" w:rsidR="008F7C96" w:rsidRDefault="008F7C96" w:rsidP="0002583C">
            <w:pPr>
              <w:jc w:val="center"/>
              <w:rPr>
                <w:rFonts w:ascii="Arial" w:hAnsi="Arial" w:cs="Arial"/>
                <w:sz w:val="20"/>
                <w:szCs w:val="20"/>
              </w:rPr>
            </w:pPr>
            <w:r>
              <w:rPr>
                <w:rFonts w:ascii="Arial" w:hAnsi="Arial" w:cs="Arial"/>
                <w:sz w:val="20"/>
                <w:szCs w:val="20"/>
              </w:rPr>
              <w:t>- 0,384</w:t>
            </w:r>
          </w:p>
          <w:p w14:paraId="0887929E" w14:textId="3EFAA252"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- 1,5615</w:t>
            </w:r>
            <w:r>
              <w:rPr>
                <w:rFonts w:ascii="Arial" w:hAnsi="Arial" w:cs="Arial"/>
                <w:sz w:val="20"/>
                <w:szCs w:val="20"/>
              </w:rPr>
              <w:t>]</w:t>
            </w:r>
          </w:p>
          <w:p w14:paraId="2AD1C8E6" w14:textId="1E71A304" w:rsidR="008F7C96" w:rsidRPr="002D0203" w:rsidRDefault="008F7C96" w:rsidP="0002583C">
            <w:pPr>
              <w:jc w:val="center"/>
              <w:rPr>
                <w:rFonts w:ascii="Arial" w:hAnsi="Arial" w:cs="Arial"/>
                <w:sz w:val="20"/>
                <w:szCs w:val="20"/>
              </w:rPr>
            </w:pPr>
          </w:p>
        </w:tc>
        <w:tc>
          <w:tcPr>
            <w:tcW w:w="1355" w:type="dxa"/>
            <w:tcBorders>
              <w:top w:val="single" w:sz="4" w:space="0" w:color="auto"/>
            </w:tcBorders>
            <w:vAlign w:val="center"/>
          </w:tcPr>
          <w:p w14:paraId="7F205CC1" w14:textId="77777777" w:rsidR="008F7C96" w:rsidRDefault="008F7C96" w:rsidP="0002583C">
            <w:pPr>
              <w:jc w:val="center"/>
              <w:rPr>
                <w:rFonts w:ascii="Arial" w:hAnsi="Arial" w:cs="Arial"/>
                <w:sz w:val="20"/>
                <w:szCs w:val="20"/>
              </w:rPr>
            </w:pPr>
            <w:r>
              <w:rPr>
                <w:rFonts w:ascii="Arial" w:hAnsi="Arial" w:cs="Arial"/>
                <w:sz w:val="20"/>
                <w:szCs w:val="20"/>
              </w:rPr>
              <w:t>- 0,129</w:t>
            </w:r>
          </w:p>
          <w:p w14:paraId="4DF42940" w14:textId="0A7F8848"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- 0,5058</w:t>
            </w:r>
            <w:r>
              <w:rPr>
                <w:rFonts w:ascii="Arial" w:hAnsi="Arial" w:cs="Arial"/>
                <w:sz w:val="20"/>
                <w:szCs w:val="20"/>
              </w:rPr>
              <w:t>]</w:t>
            </w:r>
          </w:p>
          <w:p w14:paraId="7D14FD64" w14:textId="63444ABD" w:rsidR="008F7C96" w:rsidRPr="002D0203" w:rsidRDefault="008F7C96" w:rsidP="0002583C">
            <w:pPr>
              <w:jc w:val="center"/>
              <w:rPr>
                <w:rFonts w:ascii="Arial" w:hAnsi="Arial" w:cs="Arial"/>
                <w:sz w:val="20"/>
                <w:szCs w:val="20"/>
              </w:rPr>
            </w:pPr>
          </w:p>
        </w:tc>
        <w:tc>
          <w:tcPr>
            <w:tcW w:w="1355" w:type="dxa"/>
            <w:tcBorders>
              <w:top w:val="single" w:sz="4" w:space="0" w:color="auto"/>
            </w:tcBorders>
            <w:vAlign w:val="center"/>
          </w:tcPr>
          <w:p w14:paraId="72E96140" w14:textId="77777777" w:rsidR="008F7C96" w:rsidRDefault="008E35A8" w:rsidP="0002583C">
            <w:pPr>
              <w:jc w:val="center"/>
              <w:rPr>
                <w:rFonts w:ascii="Arial" w:hAnsi="Arial" w:cs="Arial"/>
                <w:sz w:val="20"/>
                <w:szCs w:val="20"/>
              </w:rPr>
            </w:pPr>
            <w:r>
              <w:rPr>
                <w:rFonts w:ascii="Arial" w:hAnsi="Arial" w:cs="Arial"/>
                <w:sz w:val="20"/>
                <w:szCs w:val="20"/>
              </w:rPr>
              <w:t>0,174</w:t>
            </w:r>
          </w:p>
          <w:p w14:paraId="27C15CAD" w14:textId="4E85B559" w:rsidR="008E35A8" w:rsidRDefault="0097513B" w:rsidP="0002583C">
            <w:pPr>
              <w:jc w:val="center"/>
              <w:rPr>
                <w:rFonts w:ascii="Arial" w:hAnsi="Arial" w:cs="Arial"/>
                <w:sz w:val="20"/>
                <w:szCs w:val="20"/>
              </w:rPr>
            </w:pPr>
            <w:r>
              <w:rPr>
                <w:rFonts w:ascii="Arial" w:hAnsi="Arial" w:cs="Arial"/>
                <w:sz w:val="20"/>
                <w:szCs w:val="20"/>
              </w:rPr>
              <w:t>[</w:t>
            </w:r>
            <w:r w:rsidR="008E35A8">
              <w:rPr>
                <w:rFonts w:ascii="Arial" w:hAnsi="Arial" w:cs="Arial"/>
                <w:sz w:val="20"/>
                <w:szCs w:val="20"/>
              </w:rPr>
              <w:t>0,</w:t>
            </w:r>
            <w:r w:rsidR="009A5F99">
              <w:rPr>
                <w:rFonts w:ascii="Arial" w:hAnsi="Arial" w:cs="Arial"/>
                <w:sz w:val="20"/>
                <w:szCs w:val="20"/>
              </w:rPr>
              <w:t>7084</w:t>
            </w:r>
            <w:r>
              <w:rPr>
                <w:rFonts w:ascii="Arial" w:hAnsi="Arial" w:cs="Arial"/>
                <w:sz w:val="20"/>
                <w:szCs w:val="20"/>
              </w:rPr>
              <w:t>]</w:t>
            </w:r>
          </w:p>
          <w:p w14:paraId="29FD5BA7" w14:textId="4E3D7BC0" w:rsidR="008E35A8" w:rsidRPr="002D0203" w:rsidRDefault="008E35A8" w:rsidP="0002583C">
            <w:pPr>
              <w:jc w:val="center"/>
              <w:rPr>
                <w:rFonts w:ascii="Arial" w:hAnsi="Arial" w:cs="Arial"/>
                <w:sz w:val="20"/>
                <w:szCs w:val="20"/>
              </w:rPr>
            </w:pPr>
          </w:p>
        </w:tc>
        <w:tc>
          <w:tcPr>
            <w:tcW w:w="1356" w:type="dxa"/>
            <w:tcBorders>
              <w:top w:val="single" w:sz="4" w:space="0" w:color="auto"/>
            </w:tcBorders>
            <w:vAlign w:val="center"/>
          </w:tcPr>
          <w:p w14:paraId="5C9391C4" w14:textId="77777777" w:rsidR="008F7C96" w:rsidRDefault="008E35A8" w:rsidP="0002583C">
            <w:pPr>
              <w:jc w:val="center"/>
              <w:rPr>
                <w:rFonts w:ascii="Arial" w:hAnsi="Arial" w:cs="Arial"/>
                <w:sz w:val="20"/>
                <w:szCs w:val="20"/>
              </w:rPr>
            </w:pPr>
            <w:r>
              <w:rPr>
                <w:rFonts w:ascii="Arial" w:hAnsi="Arial" w:cs="Arial"/>
                <w:sz w:val="20"/>
                <w:szCs w:val="20"/>
              </w:rPr>
              <w:t>- 0,309</w:t>
            </w:r>
          </w:p>
          <w:p w14:paraId="21023C99" w14:textId="40A62765"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- 1,1347</w:t>
            </w:r>
            <w:r>
              <w:rPr>
                <w:rFonts w:ascii="Arial" w:hAnsi="Arial" w:cs="Arial"/>
                <w:sz w:val="20"/>
                <w:szCs w:val="20"/>
              </w:rPr>
              <w:t>]</w:t>
            </w:r>
          </w:p>
          <w:p w14:paraId="2F984288" w14:textId="611FEE34" w:rsidR="008E35A8" w:rsidRPr="002D0203" w:rsidRDefault="008E35A8" w:rsidP="0002583C">
            <w:pPr>
              <w:jc w:val="center"/>
              <w:rPr>
                <w:rFonts w:ascii="Arial" w:hAnsi="Arial" w:cs="Arial"/>
                <w:sz w:val="20"/>
                <w:szCs w:val="20"/>
              </w:rPr>
            </w:pPr>
          </w:p>
        </w:tc>
        <w:tc>
          <w:tcPr>
            <w:tcW w:w="1547" w:type="dxa"/>
            <w:tcBorders>
              <w:top w:val="single" w:sz="4" w:space="0" w:color="auto"/>
            </w:tcBorders>
            <w:vAlign w:val="center"/>
          </w:tcPr>
          <w:p w14:paraId="202AC67A" w14:textId="77777777" w:rsidR="008F7C96" w:rsidRDefault="008E35A8" w:rsidP="00F04192">
            <w:pPr>
              <w:jc w:val="center"/>
              <w:rPr>
                <w:rFonts w:ascii="Arial" w:hAnsi="Arial" w:cs="Arial"/>
                <w:sz w:val="20"/>
                <w:szCs w:val="20"/>
              </w:rPr>
            </w:pPr>
            <w:r>
              <w:rPr>
                <w:rFonts w:ascii="Arial" w:hAnsi="Arial" w:cs="Arial"/>
                <w:sz w:val="20"/>
                <w:szCs w:val="20"/>
              </w:rPr>
              <w:t>0,018</w:t>
            </w:r>
          </w:p>
          <w:p w14:paraId="0AA3BBAE" w14:textId="23BF4963" w:rsidR="008E35A8" w:rsidRDefault="0097513B" w:rsidP="00F04192">
            <w:pPr>
              <w:jc w:val="center"/>
              <w:rPr>
                <w:rFonts w:ascii="Arial" w:hAnsi="Arial" w:cs="Arial"/>
                <w:sz w:val="20"/>
                <w:szCs w:val="20"/>
              </w:rPr>
            </w:pPr>
            <w:r>
              <w:rPr>
                <w:rFonts w:ascii="Arial" w:hAnsi="Arial" w:cs="Arial"/>
                <w:sz w:val="20"/>
                <w:szCs w:val="20"/>
              </w:rPr>
              <w:t>[</w:t>
            </w:r>
            <w:r w:rsidR="008E35A8">
              <w:rPr>
                <w:rFonts w:ascii="Arial" w:hAnsi="Arial" w:cs="Arial"/>
                <w:sz w:val="20"/>
                <w:szCs w:val="20"/>
              </w:rPr>
              <w:t>0,</w:t>
            </w:r>
            <w:r w:rsidR="009A5F99">
              <w:rPr>
                <w:rFonts w:ascii="Arial" w:hAnsi="Arial" w:cs="Arial"/>
                <w:sz w:val="20"/>
                <w:szCs w:val="20"/>
              </w:rPr>
              <w:t>0565</w:t>
            </w:r>
            <w:r>
              <w:rPr>
                <w:rFonts w:ascii="Arial" w:hAnsi="Arial" w:cs="Arial"/>
                <w:sz w:val="20"/>
                <w:szCs w:val="20"/>
              </w:rPr>
              <w:t>]</w:t>
            </w:r>
          </w:p>
          <w:p w14:paraId="7FB4244C" w14:textId="3BB78630" w:rsidR="00F04192" w:rsidRPr="002D0203" w:rsidRDefault="00F04192" w:rsidP="00F04192">
            <w:pPr>
              <w:jc w:val="center"/>
              <w:rPr>
                <w:rFonts w:ascii="Arial" w:hAnsi="Arial" w:cs="Arial"/>
                <w:sz w:val="20"/>
                <w:szCs w:val="20"/>
              </w:rPr>
            </w:pPr>
          </w:p>
        </w:tc>
      </w:tr>
      <w:tr w:rsidR="008F7C96" w14:paraId="3DF04FFC" w14:textId="77777777" w:rsidTr="0002583C">
        <w:tc>
          <w:tcPr>
            <w:tcW w:w="1520" w:type="dxa"/>
            <w:vAlign w:val="center"/>
          </w:tcPr>
          <w:p w14:paraId="3236C772"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I_1</w:t>
            </w:r>
          </w:p>
        </w:tc>
        <w:tc>
          <w:tcPr>
            <w:tcW w:w="1355" w:type="dxa"/>
            <w:vAlign w:val="center"/>
          </w:tcPr>
          <w:p w14:paraId="6BCA9699" w14:textId="77777777" w:rsidR="008F7C96" w:rsidRDefault="008F7C96" w:rsidP="0002583C">
            <w:pPr>
              <w:jc w:val="center"/>
              <w:rPr>
                <w:rFonts w:ascii="Arial" w:hAnsi="Arial" w:cs="Arial"/>
                <w:sz w:val="20"/>
                <w:szCs w:val="20"/>
              </w:rPr>
            </w:pPr>
            <w:r>
              <w:rPr>
                <w:rFonts w:ascii="Arial" w:hAnsi="Arial" w:cs="Arial"/>
                <w:sz w:val="20"/>
                <w:szCs w:val="20"/>
              </w:rPr>
              <w:t>2,152</w:t>
            </w:r>
          </w:p>
          <w:p w14:paraId="50596E79" w14:textId="502461B3"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1,6453</w:t>
            </w:r>
            <w:r>
              <w:rPr>
                <w:rFonts w:ascii="Arial" w:hAnsi="Arial" w:cs="Arial"/>
                <w:sz w:val="20"/>
                <w:szCs w:val="20"/>
              </w:rPr>
              <w:t>]</w:t>
            </w:r>
          </w:p>
          <w:p w14:paraId="5882A554" w14:textId="2AB08134" w:rsidR="008F7C96" w:rsidRPr="002D0203" w:rsidRDefault="008F7C96" w:rsidP="0002583C">
            <w:pPr>
              <w:jc w:val="center"/>
              <w:rPr>
                <w:rFonts w:ascii="Arial" w:hAnsi="Arial" w:cs="Arial"/>
                <w:sz w:val="20"/>
                <w:szCs w:val="20"/>
              </w:rPr>
            </w:pPr>
          </w:p>
        </w:tc>
        <w:tc>
          <w:tcPr>
            <w:tcW w:w="1355" w:type="dxa"/>
            <w:vAlign w:val="center"/>
          </w:tcPr>
          <w:p w14:paraId="270D6BEC" w14:textId="189DE652"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48F1FF7F" w14:textId="169AA317"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06E37EE9" w14:textId="7C99A962"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68FC0D2D" w14:textId="77777777" w:rsidR="008F7C96" w:rsidRDefault="008E35A8" w:rsidP="0002583C">
            <w:pPr>
              <w:jc w:val="center"/>
              <w:rPr>
                <w:rFonts w:ascii="Arial" w:hAnsi="Arial" w:cs="Arial"/>
                <w:sz w:val="20"/>
                <w:szCs w:val="20"/>
              </w:rPr>
            </w:pPr>
            <w:r>
              <w:rPr>
                <w:rFonts w:ascii="Arial" w:hAnsi="Arial" w:cs="Arial"/>
                <w:sz w:val="20"/>
                <w:szCs w:val="20"/>
              </w:rPr>
              <w:t>2,967</w:t>
            </w:r>
          </w:p>
          <w:p w14:paraId="0B1508B6" w14:textId="02FC3EF2"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1,9881</w:t>
            </w:r>
            <w:r>
              <w:rPr>
                <w:rFonts w:ascii="Arial" w:hAnsi="Arial" w:cs="Arial"/>
                <w:sz w:val="20"/>
                <w:szCs w:val="20"/>
              </w:rPr>
              <w:t>]</w:t>
            </w:r>
            <w:r w:rsidR="008E35A8" w:rsidRPr="008E35A8">
              <w:rPr>
                <w:rFonts w:ascii="Arial" w:hAnsi="Arial" w:cs="Arial"/>
                <w:sz w:val="20"/>
                <w:szCs w:val="20"/>
                <w:vertAlign w:val="superscript"/>
              </w:rPr>
              <w:t>(b)</w:t>
            </w:r>
          </w:p>
          <w:p w14:paraId="7F6AC40E" w14:textId="4D427F28" w:rsidR="008E35A8" w:rsidRPr="002D0203" w:rsidRDefault="008E35A8" w:rsidP="0002583C">
            <w:pPr>
              <w:jc w:val="center"/>
              <w:rPr>
                <w:rFonts w:ascii="Arial" w:hAnsi="Arial" w:cs="Arial"/>
                <w:sz w:val="20"/>
                <w:szCs w:val="20"/>
              </w:rPr>
            </w:pPr>
          </w:p>
        </w:tc>
      </w:tr>
      <w:tr w:rsidR="008F7C96" w14:paraId="7EFD5265" w14:textId="77777777" w:rsidTr="0002583C">
        <w:tc>
          <w:tcPr>
            <w:tcW w:w="1520" w:type="dxa"/>
            <w:vAlign w:val="center"/>
          </w:tcPr>
          <w:p w14:paraId="47395CF9"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I_2</w:t>
            </w:r>
          </w:p>
        </w:tc>
        <w:tc>
          <w:tcPr>
            <w:tcW w:w="1355" w:type="dxa"/>
            <w:vAlign w:val="center"/>
          </w:tcPr>
          <w:p w14:paraId="7EB0A1E8" w14:textId="70866544"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7C4B0373" w14:textId="77777777" w:rsidR="008F7C96" w:rsidRDefault="008F7C96" w:rsidP="0002583C">
            <w:pPr>
              <w:jc w:val="center"/>
              <w:rPr>
                <w:rFonts w:ascii="Arial" w:hAnsi="Arial" w:cs="Arial"/>
                <w:sz w:val="20"/>
                <w:szCs w:val="20"/>
              </w:rPr>
            </w:pPr>
            <w:r>
              <w:rPr>
                <w:rFonts w:ascii="Arial" w:hAnsi="Arial" w:cs="Arial"/>
                <w:sz w:val="20"/>
                <w:szCs w:val="20"/>
              </w:rPr>
              <w:t>0,174</w:t>
            </w:r>
          </w:p>
          <w:p w14:paraId="2D46DACA" w14:textId="145C7744" w:rsidR="008F7C96" w:rsidRDefault="0097513B" w:rsidP="0002583C">
            <w:pPr>
              <w:jc w:val="center"/>
              <w:rPr>
                <w:rFonts w:ascii="Arial" w:hAnsi="Arial" w:cs="Arial"/>
                <w:sz w:val="20"/>
                <w:szCs w:val="20"/>
              </w:rPr>
            </w:pPr>
            <w:r>
              <w:rPr>
                <w:rFonts w:ascii="Arial" w:hAnsi="Arial" w:cs="Arial"/>
                <w:sz w:val="20"/>
                <w:szCs w:val="20"/>
              </w:rPr>
              <w:t>[</w:t>
            </w:r>
            <w:r w:rsidR="008F7C96">
              <w:rPr>
                <w:rFonts w:ascii="Arial" w:hAnsi="Arial" w:cs="Arial"/>
                <w:sz w:val="20"/>
                <w:szCs w:val="20"/>
              </w:rPr>
              <w:t>0,</w:t>
            </w:r>
            <w:r w:rsidR="009A5F99">
              <w:rPr>
                <w:rFonts w:ascii="Arial" w:hAnsi="Arial" w:cs="Arial"/>
                <w:sz w:val="20"/>
                <w:szCs w:val="20"/>
              </w:rPr>
              <w:t>1419</w:t>
            </w:r>
            <w:r>
              <w:rPr>
                <w:rFonts w:ascii="Arial" w:hAnsi="Arial" w:cs="Arial"/>
                <w:sz w:val="20"/>
                <w:szCs w:val="20"/>
              </w:rPr>
              <w:t>]</w:t>
            </w:r>
          </w:p>
          <w:p w14:paraId="34E6FA63" w14:textId="2CD97413" w:rsidR="008F7C96" w:rsidRPr="002D0203" w:rsidRDefault="008F7C96" w:rsidP="0002583C">
            <w:pPr>
              <w:jc w:val="center"/>
              <w:rPr>
                <w:rFonts w:ascii="Arial" w:hAnsi="Arial" w:cs="Arial"/>
                <w:sz w:val="20"/>
                <w:szCs w:val="20"/>
              </w:rPr>
            </w:pPr>
          </w:p>
        </w:tc>
        <w:tc>
          <w:tcPr>
            <w:tcW w:w="1355" w:type="dxa"/>
            <w:vAlign w:val="center"/>
          </w:tcPr>
          <w:p w14:paraId="1C2066D5" w14:textId="73C98FB2"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2215BC11" w14:textId="2E040D63"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76C6A6AF" w14:textId="77777777" w:rsidR="008F7C96" w:rsidRDefault="008E35A8" w:rsidP="0002583C">
            <w:pPr>
              <w:jc w:val="center"/>
              <w:rPr>
                <w:rFonts w:ascii="Arial" w:hAnsi="Arial" w:cs="Arial"/>
                <w:sz w:val="20"/>
                <w:szCs w:val="20"/>
              </w:rPr>
            </w:pPr>
            <w:r>
              <w:rPr>
                <w:rFonts w:ascii="Arial" w:hAnsi="Arial" w:cs="Arial"/>
                <w:sz w:val="20"/>
                <w:szCs w:val="20"/>
              </w:rPr>
              <w:t>- 1,335</w:t>
            </w:r>
          </w:p>
          <w:p w14:paraId="2E8AC4B6" w14:textId="608EA671"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- 0,9600</w:t>
            </w:r>
            <w:r>
              <w:rPr>
                <w:rFonts w:ascii="Arial" w:hAnsi="Arial" w:cs="Arial"/>
                <w:sz w:val="20"/>
                <w:szCs w:val="20"/>
              </w:rPr>
              <w:t>]</w:t>
            </w:r>
          </w:p>
          <w:p w14:paraId="49A94D0A" w14:textId="0E214CC4" w:rsidR="008E35A8" w:rsidRPr="002D0203" w:rsidRDefault="008E35A8" w:rsidP="0002583C">
            <w:pPr>
              <w:jc w:val="center"/>
              <w:rPr>
                <w:rFonts w:ascii="Arial" w:hAnsi="Arial" w:cs="Arial"/>
                <w:sz w:val="20"/>
                <w:szCs w:val="20"/>
              </w:rPr>
            </w:pPr>
          </w:p>
        </w:tc>
      </w:tr>
      <w:tr w:rsidR="008F7C96" w14:paraId="0534BC1A" w14:textId="77777777" w:rsidTr="0002583C">
        <w:tc>
          <w:tcPr>
            <w:tcW w:w="1520" w:type="dxa"/>
            <w:vAlign w:val="center"/>
          </w:tcPr>
          <w:p w14:paraId="574EDDC2"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I_3</w:t>
            </w:r>
          </w:p>
        </w:tc>
        <w:tc>
          <w:tcPr>
            <w:tcW w:w="1355" w:type="dxa"/>
            <w:vAlign w:val="center"/>
          </w:tcPr>
          <w:p w14:paraId="079E3911" w14:textId="6EE7DE3B"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5BFFEFA1" w14:textId="765E3ED8"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5BD810E0" w14:textId="77777777" w:rsidR="008F7C96" w:rsidRDefault="008E35A8" w:rsidP="0002583C">
            <w:pPr>
              <w:jc w:val="center"/>
              <w:rPr>
                <w:rFonts w:ascii="Arial" w:hAnsi="Arial" w:cs="Arial"/>
                <w:sz w:val="20"/>
                <w:szCs w:val="20"/>
              </w:rPr>
            </w:pPr>
            <w:r>
              <w:rPr>
                <w:rFonts w:ascii="Arial" w:hAnsi="Arial" w:cs="Arial"/>
                <w:sz w:val="20"/>
                <w:szCs w:val="20"/>
              </w:rPr>
              <w:t>- 0,515</w:t>
            </w:r>
          </w:p>
          <w:p w14:paraId="78963851" w14:textId="60102304" w:rsidR="008E35A8" w:rsidRPr="002D0203"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- 1,6362</w:t>
            </w:r>
            <w:r>
              <w:rPr>
                <w:rFonts w:ascii="Arial" w:hAnsi="Arial" w:cs="Arial"/>
                <w:sz w:val="20"/>
                <w:szCs w:val="20"/>
              </w:rPr>
              <w:t>]</w:t>
            </w:r>
          </w:p>
        </w:tc>
        <w:tc>
          <w:tcPr>
            <w:tcW w:w="1356" w:type="dxa"/>
            <w:vAlign w:val="center"/>
          </w:tcPr>
          <w:p w14:paraId="35FB7D47" w14:textId="6C82614F"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2AB3FFED" w14:textId="77777777" w:rsidR="008F7C96" w:rsidRDefault="008E35A8" w:rsidP="0002583C">
            <w:pPr>
              <w:jc w:val="center"/>
              <w:rPr>
                <w:rFonts w:ascii="Arial" w:hAnsi="Arial" w:cs="Arial"/>
                <w:sz w:val="20"/>
                <w:szCs w:val="20"/>
              </w:rPr>
            </w:pPr>
            <w:r>
              <w:rPr>
                <w:rFonts w:ascii="Arial" w:hAnsi="Arial" w:cs="Arial"/>
                <w:sz w:val="20"/>
                <w:szCs w:val="20"/>
              </w:rPr>
              <w:t>- 0,576</w:t>
            </w:r>
          </w:p>
          <w:p w14:paraId="2DA7E696" w14:textId="66C2350A"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- 1,8308</w:t>
            </w:r>
            <w:r>
              <w:rPr>
                <w:rFonts w:ascii="Arial" w:hAnsi="Arial" w:cs="Arial"/>
                <w:sz w:val="20"/>
                <w:szCs w:val="20"/>
              </w:rPr>
              <w:t>]</w:t>
            </w:r>
            <w:r w:rsidR="008E35A8" w:rsidRPr="008E35A8">
              <w:rPr>
                <w:rFonts w:ascii="Arial" w:hAnsi="Arial" w:cs="Arial"/>
                <w:sz w:val="20"/>
                <w:szCs w:val="20"/>
                <w:vertAlign w:val="superscript"/>
              </w:rPr>
              <w:t>(</w:t>
            </w:r>
            <w:r w:rsidR="00997E2F">
              <w:rPr>
                <w:rFonts w:ascii="Arial" w:hAnsi="Arial" w:cs="Arial"/>
                <w:sz w:val="20"/>
                <w:szCs w:val="20"/>
                <w:vertAlign w:val="superscript"/>
              </w:rPr>
              <w:t>c</w:t>
            </w:r>
            <w:r w:rsidR="008E35A8" w:rsidRPr="008E35A8">
              <w:rPr>
                <w:rFonts w:ascii="Arial" w:hAnsi="Arial" w:cs="Arial"/>
                <w:sz w:val="20"/>
                <w:szCs w:val="20"/>
                <w:vertAlign w:val="superscript"/>
              </w:rPr>
              <w:t>)</w:t>
            </w:r>
          </w:p>
          <w:p w14:paraId="3EBD74C0" w14:textId="18166185" w:rsidR="008E35A8" w:rsidRPr="002D0203" w:rsidRDefault="008E35A8" w:rsidP="0002583C">
            <w:pPr>
              <w:jc w:val="center"/>
              <w:rPr>
                <w:rFonts w:ascii="Arial" w:hAnsi="Arial" w:cs="Arial"/>
                <w:sz w:val="20"/>
                <w:szCs w:val="20"/>
              </w:rPr>
            </w:pPr>
          </w:p>
        </w:tc>
      </w:tr>
      <w:tr w:rsidR="008F7C96" w14:paraId="312B07C2" w14:textId="77777777" w:rsidTr="0002583C">
        <w:tc>
          <w:tcPr>
            <w:tcW w:w="1520" w:type="dxa"/>
            <w:vAlign w:val="center"/>
          </w:tcPr>
          <w:p w14:paraId="5320D676"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I_4</w:t>
            </w:r>
          </w:p>
        </w:tc>
        <w:tc>
          <w:tcPr>
            <w:tcW w:w="1355" w:type="dxa"/>
            <w:vAlign w:val="center"/>
          </w:tcPr>
          <w:p w14:paraId="2DD03C5E" w14:textId="50457970"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28A8B146" w14:textId="1450AF35"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6AA59D13" w14:textId="60DC0570" w:rsidR="008F7C96"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142A3C5C" w14:textId="77777777" w:rsidR="008F7C96" w:rsidRDefault="008E35A8" w:rsidP="0002583C">
            <w:pPr>
              <w:jc w:val="center"/>
              <w:rPr>
                <w:rFonts w:ascii="Arial" w:hAnsi="Arial" w:cs="Arial"/>
                <w:sz w:val="20"/>
                <w:szCs w:val="20"/>
              </w:rPr>
            </w:pPr>
            <w:r>
              <w:rPr>
                <w:rFonts w:ascii="Arial" w:hAnsi="Arial" w:cs="Arial"/>
                <w:sz w:val="20"/>
                <w:szCs w:val="20"/>
              </w:rPr>
              <w:t>1,471</w:t>
            </w:r>
          </w:p>
          <w:p w14:paraId="43D9C232" w14:textId="2C9AB4F3"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0,9993</w:t>
            </w:r>
            <w:r>
              <w:rPr>
                <w:rFonts w:ascii="Arial" w:hAnsi="Arial" w:cs="Arial"/>
                <w:sz w:val="20"/>
                <w:szCs w:val="20"/>
              </w:rPr>
              <w:t>]</w:t>
            </w:r>
          </w:p>
          <w:p w14:paraId="3800458F" w14:textId="29ABEE17" w:rsidR="008E35A8" w:rsidRPr="002D0203" w:rsidRDefault="008E35A8" w:rsidP="0002583C">
            <w:pPr>
              <w:jc w:val="center"/>
              <w:rPr>
                <w:rFonts w:ascii="Arial" w:hAnsi="Arial" w:cs="Arial"/>
                <w:sz w:val="20"/>
                <w:szCs w:val="20"/>
              </w:rPr>
            </w:pPr>
          </w:p>
        </w:tc>
        <w:tc>
          <w:tcPr>
            <w:tcW w:w="1547" w:type="dxa"/>
            <w:vAlign w:val="center"/>
          </w:tcPr>
          <w:p w14:paraId="7D794A79" w14:textId="456F73E9" w:rsidR="008F7C96" w:rsidRPr="002D0203" w:rsidRDefault="00456646" w:rsidP="0002583C">
            <w:pPr>
              <w:jc w:val="center"/>
              <w:rPr>
                <w:rFonts w:ascii="Arial" w:hAnsi="Arial" w:cs="Arial"/>
                <w:sz w:val="20"/>
                <w:szCs w:val="20"/>
              </w:rPr>
            </w:pPr>
            <w:r>
              <w:rPr>
                <w:rFonts w:ascii="Arial" w:hAnsi="Arial" w:cs="Arial"/>
                <w:sz w:val="20"/>
                <w:szCs w:val="20"/>
              </w:rPr>
              <w:t>-</w:t>
            </w:r>
          </w:p>
        </w:tc>
      </w:tr>
      <w:tr w:rsidR="008F7C96" w14:paraId="508CD4F8" w14:textId="77777777" w:rsidTr="0002583C">
        <w:tc>
          <w:tcPr>
            <w:tcW w:w="1520" w:type="dxa"/>
            <w:vAlign w:val="center"/>
          </w:tcPr>
          <w:p w14:paraId="5AD5646F"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G</w:t>
            </w:r>
          </w:p>
        </w:tc>
        <w:tc>
          <w:tcPr>
            <w:tcW w:w="1355" w:type="dxa"/>
            <w:vAlign w:val="center"/>
          </w:tcPr>
          <w:p w14:paraId="0613ED83" w14:textId="77777777" w:rsidR="008F7C96" w:rsidRDefault="008F7C96" w:rsidP="0002583C">
            <w:pPr>
              <w:jc w:val="center"/>
              <w:rPr>
                <w:rFonts w:ascii="Arial" w:hAnsi="Arial" w:cs="Arial"/>
                <w:sz w:val="20"/>
                <w:szCs w:val="20"/>
              </w:rPr>
            </w:pPr>
            <w:r>
              <w:rPr>
                <w:rFonts w:ascii="Arial" w:hAnsi="Arial" w:cs="Arial"/>
                <w:sz w:val="20"/>
                <w:szCs w:val="20"/>
              </w:rPr>
              <w:t>0,139</w:t>
            </w:r>
          </w:p>
          <w:p w14:paraId="58A9573B" w14:textId="4F6B321F"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0,4122</w:t>
            </w:r>
            <w:r>
              <w:rPr>
                <w:rFonts w:ascii="Arial" w:hAnsi="Arial" w:cs="Arial"/>
                <w:sz w:val="20"/>
                <w:szCs w:val="20"/>
              </w:rPr>
              <w:t>]</w:t>
            </w:r>
          </w:p>
          <w:p w14:paraId="4633E516" w14:textId="463ACBCD" w:rsidR="008F7C96" w:rsidRPr="002D0203" w:rsidRDefault="008F7C96" w:rsidP="0002583C">
            <w:pPr>
              <w:jc w:val="center"/>
              <w:rPr>
                <w:rFonts w:ascii="Arial" w:hAnsi="Arial" w:cs="Arial"/>
                <w:sz w:val="20"/>
                <w:szCs w:val="20"/>
              </w:rPr>
            </w:pPr>
          </w:p>
        </w:tc>
        <w:tc>
          <w:tcPr>
            <w:tcW w:w="1355" w:type="dxa"/>
            <w:vAlign w:val="center"/>
          </w:tcPr>
          <w:p w14:paraId="0F52E6D8" w14:textId="77777777" w:rsidR="008F7C96" w:rsidRDefault="008F7C96" w:rsidP="0002583C">
            <w:pPr>
              <w:jc w:val="center"/>
              <w:rPr>
                <w:rFonts w:ascii="Arial" w:hAnsi="Arial" w:cs="Arial"/>
                <w:sz w:val="20"/>
                <w:szCs w:val="20"/>
              </w:rPr>
            </w:pPr>
            <w:r>
              <w:rPr>
                <w:rFonts w:ascii="Arial" w:hAnsi="Arial" w:cs="Arial"/>
                <w:sz w:val="20"/>
                <w:szCs w:val="20"/>
              </w:rPr>
              <w:t>0,059</w:t>
            </w:r>
          </w:p>
          <w:p w14:paraId="76857324" w14:textId="552689F4" w:rsidR="008F7C96" w:rsidRDefault="0097513B" w:rsidP="0002583C">
            <w:pPr>
              <w:jc w:val="center"/>
              <w:rPr>
                <w:rFonts w:ascii="Arial" w:hAnsi="Arial" w:cs="Arial"/>
                <w:sz w:val="20"/>
                <w:szCs w:val="20"/>
              </w:rPr>
            </w:pPr>
            <w:r>
              <w:rPr>
                <w:rFonts w:ascii="Arial" w:hAnsi="Arial" w:cs="Arial"/>
                <w:sz w:val="20"/>
                <w:szCs w:val="20"/>
              </w:rPr>
              <w:t>[</w:t>
            </w:r>
            <w:r w:rsidR="008F7C96">
              <w:rPr>
                <w:rFonts w:ascii="Arial" w:hAnsi="Arial" w:cs="Arial"/>
                <w:sz w:val="20"/>
                <w:szCs w:val="20"/>
              </w:rPr>
              <w:t>0,</w:t>
            </w:r>
            <w:r w:rsidR="009A5F99">
              <w:rPr>
                <w:rFonts w:ascii="Arial" w:hAnsi="Arial" w:cs="Arial"/>
                <w:sz w:val="20"/>
                <w:szCs w:val="20"/>
              </w:rPr>
              <w:t>1749</w:t>
            </w:r>
            <w:r>
              <w:rPr>
                <w:rFonts w:ascii="Arial" w:hAnsi="Arial" w:cs="Arial"/>
                <w:sz w:val="20"/>
                <w:szCs w:val="20"/>
              </w:rPr>
              <w:t>]</w:t>
            </w:r>
          </w:p>
          <w:p w14:paraId="5C45583B" w14:textId="70AB4BBD" w:rsidR="008F7C96" w:rsidRPr="002D0203" w:rsidRDefault="008F7C96" w:rsidP="0002583C">
            <w:pPr>
              <w:jc w:val="center"/>
              <w:rPr>
                <w:rFonts w:ascii="Arial" w:hAnsi="Arial" w:cs="Arial"/>
                <w:sz w:val="20"/>
                <w:szCs w:val="20"/>
              </w:rPr>
            </w:pPr>
          </w:p>
        </w:tc>
        <w:tc>
          <w:tcPr>
            <w:tcW w:w="1355" w:type="dxa"/>
            <w:vAlign w:val="center"/>
          </w:tcPr>
          <w:p w14:paraId="07AA231D" w14:textId="77777777" w:rsidR="008F7C96" w:rsidRDefault="008E35A8" w:rsidP="0002583C">
            <w:pPr>
              <w:jc w:val="center"/>
              <w:rPr>
                <w:rFonts w:ascii="Arial" w:hAnsi="Arial" w:cs="Arial"/>
                <w:sz w:val="20"/>
                <w:szCs w:val="20"/>
              </w:rPr>
            </w:pPr>
            <w:r>
              <w:rPr>
                <w:rFonts w:ascii="Arial" w:hAnsi="Arial" w:cs="Arial"/>
                <w:sz w:val="20"/>
                <w:szCs w:val="20"/>
              </w:rPr>
              <w:t>- 0,003</w:t>
            </w:r>
          </w:p>
          <w:p w14:paraId="1991D8A6" w14:textId="59FB5369"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- 0,0084</w:t>
            </w:r>
            <w:r>
              <w:rPr>
                <w:rFonts w:ascii="Arial" w:hAnsi="Arial" w:cs="Arial"/>
                <w:sz w:val="20"/>
                <w:szCs w:val="20"/>
              </w:rPr>
              <w:t>]</w:t>
            </w:r>
          </w:p>
          <w:p w14:paraId="210F6780" w14:textId="73BFA109" w:rsidR="008E35A8" w:rsidRPr="002D0203" w:rsidRDefault="008E35A8" w:rsidP="0002583C">
            <w:pPr>
              <w:jc w:val="center"/>
              <w:rPr>
                <w:rFonts w:ascii="Arial" w:hAnsi="Arial" w:cs="Arial"/>
                <w:sz w:val="20"/>
                <w:szCs w:val="20"/>
              </w:rPr>
            </w:pPr>
          </w:p>
        </w:tc>
        <w:tc>
          <w:tcPr>
            <w:tcW w:w="1356" w:type="dxa"/>
            <w:vAlign w:val="center"/>
          </w:tcPr>
          <w:p w14:paraId="38BA8982" w14:textId="77777777" w:rsidR="008F7C96" w:rsidRDefault="008E35A8" w:rsidP="0002583C">
            <w:pPr>
              <w:jc w:val="center"/>
              <w:rPr>
                <w:rFonts w:ascii="Arial" w:hAnsi="Arial" w:cs="Arial"/>
                <w:sz w:val="20"/>
                <w:szCs w:val="20"/>
              </w:rPr>
            </w:pPr>
            <w:r>
              <w:rPr>
                <w:rFonts w:ascii="Arial" w:hAnsi="Arial" w:cs="Arial"/>
                <w:sz w:val="20"/>
                <w:szCs w:val="20"/>
              </w:rPr>
              <w:t>0,078</w:t>
            </w:r>
          </w:p>
          <w:p w14:paraId="2A2A3C70" w14:textId="54EBA316"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0,2327</w:t>
            </w:r>
            <w:r>
              <w:rPr>
                <w:rFonts w:ascii="Arial" w:hAnsi="Arial" w:cs="Arial"/>
                <w:sz w:val="20"/>
                <w:szCs w:val="20"/>
              </w:rPr>
              <w:t>]</w:t>
            </w:r>
          </w:p>
          <w:p w14:paraId="39811ABC" w14:textId="15D1BC1C" w:rsidR="008E35A8" w:rsidRPr="002D0203" w:rsidRDefault="008E35A8" w:rsidP="0002583C">
            <w:pPr>
              <w:jc w:val="center"/>
              <w:rPr>
                <w:rFonts w:ascii="Arial" w:hAnsi="Arial" w:cs="Arial"/>
                <w:sz w:val="20"/>
                <w:szCs w:val="20"/>
              </w:rPr>
            </w:pPr>
          </w:p>
        </w:tc>
        <w:tc>
          <w:tcPr>
            <w:tcW w:w="1547" w:type="dxa"/>
            <w:vAlign w:val="center"/>
          </w:tcPr>
          <w:p w14:paraId="4D54590F" w14:textId="77777777" w:rsidR="008F7C96" w:rsidRDefault="008E35A8" w:rsidP="0002583C">
            <w:pPr>
              <w:jc w:val="center"/>
              <w:rPr>
                <w:rFonts w:ascii="Arial" w:hAnsi="Arial" w:cs="Arial"/>
                <w:sz w:val="20"/>
                <w:szCs w:val="20"/>
              </w:rPr>
            </w:pPr>
            <w:r>
              <w:rPr>
                <w:rFonts w:ascii="Arial" w:hAnsi="Arial" w:cs="Arial"/>
                <w:sz w:val="20"/>
                <w:szCs w:val="20"/>
              </w:rPr>
              <w:t>0,114</w:t>
            </w:r>
          </w:p>
          <w:p w14:paraId="257F4749" w14:textId="16A5CBC5"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0,3361</w:t>
            </w:r>
            <w:r>
              <w:rPr>
                <w:rFonts w:ascii="Arial" w:hAnsi="Arial" w:cs="Arial"/>
                <w:sz w:val="20"/>
                <w:szCs w:val="20"/>
              </w:rPr>
              <w:t>]</w:t>
            </w:r>
          </w:p>
          <w:p w14:paraId="3ECCC420" w14:textId="1AC227D8" w:rsidR="008E35A8" w:rsidRPr="002D0203" w:rsidRDefault="008E35A8" w:rsidP="0002583C">
            <w:pPr>
              <w:jc w:val="center"/>
              <w:rPr>
                <w:rFonts w:ascii="Arial" w:hAnsi="Arial" w:cs="Arial"/>
                <w:sz w:val="20"/>
                <w:szCs w:val="20"/>
              </w:rPr>
            </w:pPr>
          </w:p>
        </w:tc>
      </w:tr>
      <w:tr w:rsidR="008F7C96" w14:paraId="56712EC6" w14:textId="77777777" w:rsidTr="0002583C">
        <w:tc>
          <w:tcPr>
            <w:tcW w:w="1520" w:type="dxa"/>
            <w:vAlign w:val="center"/>
          </w:tcPr>
          <w:p w14:paraId="45D303A9"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An</w:t>
            </w:r>
          </w:p>
        </w:tc>
        <w:tc>
          <w:tcPr>
            <w:tcW w:w="1355" w:type="dxa"/>
            <w:vAlign w:val="center"/>
          </w:tcPr>
          <w:p w14:paraId="29C2F70E" w14:textId="77777777" w:rsidR="008F7C96" w:rsidRDefault="008F7C96" w:rsidP="0002583C">
            <w:pPr>
              <w:jc w:val="center"/>
              <w:rPr>
                <w:rFonts w:ascii="Arial" w:hAnsi="Arial" w:cs="Arial"/>
                <w:sz w:val="20"/>
                <w:szCs w:val="20"/>
              </w:rPr>
            </w:pPr>
            <w:r>
              <w:rPr>
                <w:rFonts w:ascii="Arial" w:hAnsi="Arial" w:cs="Arial"/>
                <w:sz w:val="20"/>
                <w:szCs w:val="20"/>
              </w:rPr>
              <w:t>- 0,004</w:t>
            </w:r>
          </w:p>
          <w:p w14:paraId="60CC8432" w14:textId="6350BF5F"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- 0,6518</w:t>
            </w:r>
            <w:r>
              <w:rPr>
                <w:rFonts w:ascii="Arial" w:hAnsi="Arial" w:cs="Arial"/>
                <w:sz w:val="20"/>
                <w:szCs w:val="20"/>
              </w:rPr>
              <w:t>]</w:t>
            </w:r>
          </w:p>
          <w:p w14:paraId="137E3FB7" w14:textId="6BB02D73" w:rsidR="008F7C96" w:rsidRPr="002D0203" w:rsidRDefault="008F7C96" w:rsidP="0002583C">
            <w:pPr>
              <w:jc w:val="center"/>
              <w:rPr>
                <w:rFonts w:ascii="Arial" w:hAnsi="Arial" w:cs="Arial"/>
                <w:sz w:val="20"/>
                <w:szCs w:val="20"/>
              </w:rPr>
            </w:pPr>
          </w:p>
        </w:tc>
        <w:tc>
          <w:tcPr>
            <w:tcW w:w="1355" w:type="dxa"/>
            <w:vAlign w:val="center"/>
          </w:tcPr>
          <w:p w14:paraId="79218B92" w14:textId="77777777" w:rsidR="008F7C96" w:rsidRDefault="008E35A8" w:rsidP="0002583C">
            <w:pPr>
              <w:jc w:val="center"/>
              <w:rPr>
                <w:rFonts w:ascii="Arial" w:hAnsi="Arial" w:cs="Arial"/>
                <w:sz w:val="20"/>
                <w:szCs w:val="20"/>
              </w:rPr>
            </w:pPr>
            <w:r>
              <w:rPr>
                <w:rFonts w:ascii="Arial" w:hAnsi="Arial" w:cs="Arial"/>
                <w:sz w:val="20"/>
                <w:szCs w:val="20"/>
              </w:rPr>
              <w:t>- 0,002</w:t>
            </w:r>
          </w:p>
          <w:p w14:paraId="36097BC7" w14:textId="1439255E"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- 0,3513</w:t>
            </w:r>
            <w:r>
              <w:rPr>
                <w:rFonts w:ascii="Arial" w:hAnsi="Arial" w:cs="Arial"/>
                <w:sz w:val="20"/>
                <w:szCs w:val="20"/>
              </w:rPr>
              <w:t>]</w:t>
            </w:r>
          </w:p>
          <w:p w14:paraId="0DB39FD3" w14:textId="1F0FA3BE" w:rsidR="008E35A8" w:rsidRPr="002D0203" w:rsidRDefault="008E35A8" w:rsidP="0002583C">
            <w:pPr>
              <w:jc w:val="center"/>
              <w:rPr>
                <w:rFonts w:ascii="Arial" w:hAnsi="Arial" w:cs="Arial"/>
                <w:sz w:val="20"/>
                <w:szCs w:val="20"/>
              </w:rPr>
            </w:pPr>
          </w:p>
        </w:tc>
        <w:tc>
          <w:tcPr>
            <w:tcW w:w="1355" w:type="dxa"/>
            <w:vAlign w:val="center"/>
          </w:tcPr>
          <w:p w14:paraId="0D5D60F7" w14:textId="77777777" w:rsidR="008F7C96" w:rsidRDefault="008E35A8" w:rsidP="0002583C">
            <w:pPr>
              <w:jc w:val="center"/>
              <w:rPr>
                <w:rFonts w:ascii="Arial" w:hAnsi="Arial" w:cs="Arial"/>
                <w:sz w:val="20"/>
                <w:szCs w:val="20"/>
              </w:rPr>
            </w:pPr>
            <w:r>
              <w:rPr>
                <w:rFonts w:ascii="Arial" w:hAnsi="Arial" w:cs="Arial"/>
                <w:sz w:val="20"/>
                <w:szCs w:val="20"/>
              </w:rPr>
              <w:t>- 0,004</w:t>
            </w:r>
          </w:p>
          <w:p w14:paraId="304DAB03" w14:textId="1A469967"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- 0,6500</w:t>
            </w:r>
            <w:r>
              <w:rPr>
                <w:rFonts w:ascii="Arial" w:hAnsi="Arial" w:cs="Arial"/>
                <w:sz w:val="20"/>
                <w:szCs w:val="20"/>
              </w:rPr>
              <w:t>]</w:t>
            </w:r>
          </w:p>
          <w:p w14:paraId="55B8E27A" w14:textId="68B985C4" w:rsidR="008E35A8" w:rsidRPr="002D0203" w:rsidRDefault="008E35A8" w:rsidP="0002583C">
            <w:pPr>
              <w:jc w:val="center"/>
              <w:rPr>
                <w:rFonts w:ascii="Arial" w:hAnsi="Arial" w:cs="Arial"/>
                <w:sz w:val="20"/>
                <w:szCs w:val="20"/>
              </w:rPr>
            </w:pPr>
          </w:p>
        </w:tc>
        <w:tc>
          <w:tcPr>
            <w:tcW w:w="1356" w:type="dxa"/>
            <w:vAlign w:val="center"/>
          </w:tcPr>
          <w:p w14:paraId="542FF367" w14:textId="77777777" w:rsidR="008F7C96" w:rsidRDefault="008E35A8" w:rsidP="0002583C">
            <w:pPr>
              <w:jc w:val="center"/>
              <w:rPr>
                <w:rFonts w:ascii="Arial" w:hAnsi="Arial" w:cs="Arial"/>
                <w:sz w:val="20"/>
                <w:szCs w:val="20"/>
              </w:rPr>
            </w:pPr>
            <w:r>
              <w:rPr>
                <w:rFonts w:ascii="Arial" w:hAnsi="Arial" w:cs="Arial"/>
                <w:sz w:val="20"/>
                <w:szCs w:val="20"/>
              </w:rPr>
              <w:t>- 0,002</w:t>
            </w:r>
          </w:p>
          <w:p w14:paraId="74629606" w14:textId="0AC5079F"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- 0,3635</w:t>
            </w:r>
            <w:r>
              <w:rPr>
                <w:rFonts w:ascii="Arial" w:hAnsi="Arial" w:cs="Arial"/>
                <w:sz w:val="20"/>
                <w:szCs w:val="20"/>
              </w:rPr>
              <w:t>]</w:t>
            </w:r>
          </w:p>
          <w:p w14:paraId="595A1178" w14:textId="33B9A7AE" w:rsidR="008E35A8" w:rsidRPr="002D0203" w:rsidRDefault="008E35A8" w:rsidP="0002583C">
            <w:pPr>
              <w:jc w:val="center"/>
              <w:rPr>
                <w:rFonts w:ascii="Arial" w:hAnsi="Arial" w:cs="Arial"/>
                <w:sz w:val="20"/>
                <w:szCs w:val="20"/>
              </w:rPr>
            </w:pPr>
          </w:p>
        </w:tc>
        <w:tc>
          <w:tcPr>
            <w:tcW w:w="1547" w:type="dxa"/>
            <w:vAlign w:val="center"/>
          </w:tcPr>
          <w:p w14:paraId="13D10073" w14:textId="77777777" w:rsidR="008F7C96" w:rsidRDefault="008E35A8" w:rsidP="0002583C">
            <w:pPr>
              <w:jc w:val="center"/>
              <w:rPr>
                <w:rFonts w:ascii="Arial" w:hAnsi="Arial" w:cs="Arial"/>
                <w:sz w:val="20"/>
                <w:szCs w:val="20"/>
              </w:rPr>
            </w:pPr>
            <w:r>
              <w:rPr>
                <w:rFonts w:ascii="Arial" w:hAnsi="Arial" w:cs="Arial"/>
                <w:sz w:val="20"/>
                <w:szCs w:val="20"/>
              </w:rPr>
              <w:t>- 0,008</w:t>
            </w:r>
          </w:p>
          <w:p w14:paraId="6801FCA2" w14:textId="0A339DF4"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- 1,1894</w:t>
            </w:r>
            <w:r>
              <w:rPr>
                <w:rFonts w:ascii="Arial" w:hAnsi="Arial" w:cs="Arial"/>
                <w:sz w:val="20"/>
                <w:szCs w:val="20"/>
              </w:rPr>
              <w:t>]</w:t>
            </w:r>
          </w:p>
          <w:p w14:paraId="4CD304EF" w14:textId="65B83CD1" w:rsidR="008E35A8" w:rsidRPr="002D0203" w:rsidRDefault="008E35A8" w:rsidP="0002583C">
            <w:pPr>
              <w:jc w:val="center"/>
              <w:rPr>
                <w:rFonts w:ascii="Arial" w:hAnsi="Arial" w:cs="Arial"/>
                <w:sz w:val="20"/>
                <w:szCs w:val="20"/>
              </w:rPr>
            </w:pPr>
          </w:p>
        </w:tc>
      </w:tr>
      <w:tr w:rsidR="008F7C96" w14:paraId="4FA50220" w14:textId="77777777" w:rsidTr="0002583C">
        <w:tc>
          <w:tcPr>
            <w:tcW w:w="1520" w:type="dxa"/>
            <w:vAlign w:val="center"/>
          </w:tcPr>
          <w:p w14:paraId="4F1C35A0"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MI</w:t>
            </w:r>
          </w:p>
        </w:tc>
        <w:tc>
          <w:tcPr>
            <w:tcW w:w="1355" w:type="dxa"/>
            <w:vAlign w:val="center"/>
          </w:tcPr>
          <w:p w14:paraId="6DDB9C93" w14:textId="77777777" w:rsidR="008F7C96" w:rsidRDefault="008F7C96" w:rsidP="0002583C">
            <w:pPr>
              <w:jc w:val="center"/>
              <w:rPr>
                <w:rFonts w:ascii="Arial" w:hAnsi="Arial" w:cs="Arial"/>
                <w:sz w:val="20"/>
                <w:szCs w:val="20"/>
              </w:rPr>
            </w:pPr>
            <w:r>
              <w:rPr>
                <w:rFonts w:ascii="Arial" w:hAnsi="Arial" w:cs="Arial"/>
                <w:sz w:val="20"/>
                <w:szCs w:val="20"/>
              </w:rPr>
              <w:t>0,006</w:t>
            </w:r>
          </w:p>
          <w:p w14:paraId="151554C0" w14:textId="0B9853EB"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2,2378</w:t>
            </w:r>
            <w:r>
              <w:rPr>
                <w:rFonts w:ascii="Arial" w:hAnsi="Arial" w:cs="Arial"/>
                <w:sz w:val="20"/>
                <w:szCs w:val="20"/>
              </w:rPr>
              <w:t>]</w:t>
            </w:r>
            <w:r w:rsidR="008F7C96" w:rsidRPr="008F7C96">
              <w:rPr>
                <w:rFonts w:ascii="Arial" w:hAnsi="Arial" w:cs="Arial"/>
                <w:sz w:val="20"/>
                <w:szCs w:val="20"/>
                <w:vertAlign w:val="superscript"/>
              </w:rPr>
              <w:t>(b)</w:t>
            </w:r>
          </w:p>
          <w:p w14:paraId="61599DD2" w14:textId="7EA4D892" w:rsidR="008F7C96" w:rsidRPr="002D0203" w:rsidRDefault="008F7C96" w:rsidP="0002583C">
            <w:pPr>
              <w:jc w:val="center"/>
              <w:rPr>
                <w:rFonts w:ascii="Arial" w:hAnsi="Arial" w:cs="Arial"/>
                <w:sz w:val="20"/>
                <w:szCs w:val="20"/>
              </w:rPr>
            </w:pPr>
          </w:p>
        </w:tc>
        <w:tc>
          <w:tcPr>
            <w:tcW w:w="1355" w:type="dxa"/>
            <w:vAlign w:val="center"/>
          </w:tcPr>
          <w:p w14:paraId="6E40B1FD" w14:textId="77777777" w:rsidR="008F7C96" w:rsidRDefault="008E35A8" w:rsidP="0002583C">
            <w:pPr>
              <w:jc w:val="center"/>
              <w:rPr>
                <w:rFonts w:ascii="Arial" w:hAnsi="Arial" w:cs="Arial"/>
                <w:sz w:val="20"/>
                <w:szCs w:val="20"/>
              </w:rPr>
            </w:pPr>
            <w:r>
              <w:rPr>
                <w:rFonts w:ascii="Arial" w:hAnsi="Arial" w:cs="Arial"/>
                <w:sz w:val="20"/>
                <w:szCs w:val="20"/>
              </w:rPr>
              <w:t>0,008</w:t>
            </w:r>
          </w:p>
          <w:p w14:paraId="2E692770" w14:textId="188FDCB5"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2,8764</w:t>
            </w:r>
            <w:r>
              <w:rPr>
                <w:rFonts w:ascii="Arial" w:hAnsi="Arial" w:cs="Arial"/>
                <w:sz w:val="20"/>
                <w:szCs w:val="20"/>
              </w:rPr>
              <w:t>]</w:t>
            </w:r>
            <w:r w:rsidR="008E35A8" w:rsidRPr="008E35A8">
              <w:rPr>
                <w:rFonts w:ascii="Arial" w:hAnsi="Arial" w:cs="Arial"/>
                <w:sz w:val="20"/>
                <w:szCs w:val="20"/>
                <w:vertAlign w:val="superscript"/>
              </w:rPr>
              <w:t>(a)</w:t>
            </w:r>
          </w:p>
          <w:p w14:paraId="72D861D1" w14:textId="3D63881A" w:rsidR="008E35A8" w:rsidRPr="002D0203" w:rsidRDefault="008E35A8" w:rsidP="0002583C">
            <w:pPr>
              <w:jc w:val="center"/>
              <w:rPr>
                <w:rFonts w:ascii="Arial" w:hAnsi="Arial" w:cs="Arial"/>
                <w:sz w:val="20"/>
                <w:szCs w:val="20"/>
              </w:rPr>
            </w:pPr>
          </w:p>
        </w:tc>
        <w:tc>
          <w:tcPr>
            <w:tcW w:w="1355" w:type="dxa"/>
            <w:vAlign w:val="center"/>
          </w:tcPr>
          <w:p w14:paraId="095CDB38" w14:textId="77777777" w:rsidR="008F7C96" w:rsidRDefault="008E35A8" w:rsidP="0002583C">
            <w:pPr>
              <w:jc w:val="center"/>
              <w:rPr>
                <w:rFonts w:ascii="Arial" w:hAnsi="Arial" w:cs="Arial"/>
                <w:sz w:val="20"/>
                <w:szCs w:val="20"/>
              </w:rPr>
            </w:pPr>
            <w:r>
              <w:rPr>
                <w:rFonts w:ascii="Arial" w:hAnsi="Arial" w:cs="Arial"/>
                <w:sz w:val="20"/>
                <w:szCs w:val="20"/>
              </w:rPr>
              <w:t>0,007</w:t>
            </w:r>
          </w:p>
          <w:p w14:paraId="1BC98034" w14:textId="08A5D96A"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2,4306</w:t>
            </w:r>
            <w:r>
              <w:rPr>
                <w:rFonts w:ascii="Arial" w:hAnsi="Arial" w:cs="Arial"/>
                <w:sz w:val="20"/>
                <w:szCs w:val="20"/>
              </w:rPr>
              <w:t>]</w:t>
            </w:r>
            <w:r w:rsidR="008E35A8" w:rsidRPr="008E35A8">
              <w:rPr>
                <w:rFonts w:ascii="Arial" w:hAnsi="Arial" w:cs="Arial"/>
                <w:sz w:val="20"/>
                <w:szCs w:val="20"/>
                <w:vertAlign w:val="superscript"/>
              </w:rPr>
              <w:t>(b)</w:t>
            </w:r>
          </w:p>
          <w:p w14:paraId="5839BCB3" w14:textId="4FFC43FF" w:rsidR="008E35A8" w:rsidRPr="002D0203" w:rsidRDefault="008E35A8" w:rsidP="0002583C">
            <w:pPr>
              <w:jc w:val="center"/>
              <w:rPr>
                <w:rFonts w:ascii="Arial" w:hAnsi="Arial" w:cs="Arial"/>
                <w:sz w:val="20"/>
                <w:szCs w:val="20"/>
              </w:rPr>
            </w:pPr>
          </w:p>
        </w:tc>
        <w:tc>
          <w:tcPr>
            <w:tcW w:w="1356" w:type="dxa"/>
            <w:vAlign w:val="center"/>
          </w:tcPr>
          <w:p w14:paraId="4C31AF74" w14:textId="77777777" w:rsidR="008F7C96" w:rsidRDefault="008E35A8" w:rsidP="0002583C">
            <w:pPr>
              <w:jc w:val="center"/>
              <w:rPr>
                <w:rFonts w:ascii="Arial" w:hAnsi="Arial" w:cs="Arial"/>
                <w:sz w:val="20"/>
                <w:szCs w:val="20"/>
              </w:rPr>
            </w:pPr>
            <w:r>
              <w:rPr>
                <w:rFonts w:ascii="Arial" w:hAnsi="Arial" w:cs="Arial"/>
                <w:sz w:val="20"/>
                <w:szCs w:val="20"/>
              </w:rPr>
              <w:t>0,007</w:t>
            </w:r>
          </w:p>
          <w:p w14:paraId="1A910DA7" w14:textId="546CDF3C"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2,6043</w:t>
            </w:r>
            <w:r>
              <w:rPr>
                <w:rFonts w:ascii="Arial" w:hAnsi="Arial" w:cs="Arial"/>
                <w:sz w:val="20"/>
                <w:szCs w:val="20"/>
              </w:rPr>
              <w:t>]</w:t>
            </w:r>
          </w:p>
          <w:p w14:paraId="11F8868B" w14:textId="3669F963" w:rsidR="008E35A8" w:rsidRPr="002D0203" w:rsidRDefault="008E35A8" w:rsidP="0002583C">
            <w:pPr>
              <w:jc w:val="center"/>
              <w:rPr>
                <w:rFonts w:ascii="Arial" w:hAnsi="Arial" w:cs="Arial"/>
                <w:sz w:val="20"/>
                <w:szCs w:val="20"/>
              </w:rPr>
            </w:pPr>
          </w:p>
        </w:tc>
        <w:tc>
          <w:tcPr>
            <w:tcW w:w="1547" w:type="dxa"/>
            <w:vAlign w:val="center"/>
          </w:tcPr>
          <w:p w14:paraId="5289E47C" w14:textId="77777777" w:rsidR="008F7C96" w:rsidRDefault="008E35A8" w:rsidP="0002583C">
            <w:pPr>
              <w:jc w:val="center"/>
              <w:rPr>
                <w:rFonts w:ascii="Arial" w:hAnsi="Arial" w:cs="Arial"/>
                <w:sz w:val="20"/>
                <w:szCs w:val="20"/>
              </w:rPr>
            </w:pPr>
            <w:r>
              <w:rPr>
                <w:rFonts w:ascii="Arial" w:hAnsi="Arial" w:cs="Arial"/>
                <w:sz w:val="20"/>
                <w:szCs w:val="20"/>
              </w:rPr>
              <w:t>0,005</w:t>
            </w:r>
          </w:p>
          <w:p w14:paraId="3A758A1E" w14:textId="3ED6C5F3"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1,6142</w:t>
            </w:r>
            <w:r>
              <w:rPr>
                <w:rFonts w:ascii="Arial" w:hAnsi="Arial" w:cs="Arial"/>
                <w:sz w:val="20"/>
                <w:szCs w:val="20"/>
              </w:rPr>
              <w:t>]</w:t>
            </w:r>
          </w:p>
          <w:p w14:paraId="0AE00824" w14:textId="27D53C42" w:rsidR="008E35A8" w:rsidRPr="002D0203" w:rsidRDefault="008E35A8" w:rsidP="0002583C">
            <w:pPr>
              <w:jc w:val="center"/>
              <w:rPr>
                <w:rFonts w:ascii="Arial" w:hAnsi="Arial" w:cs="Arial"/>
                <w:sz w:val="20"/>
                <w:szCs w:val="20"/>
              </w:rPr>
            </w:pPr>
          </w:p>
        </w:tc>
      </w:tr>
      <w:tr w:rsidR="008F7C96" w14:paraId="7D2F6154" w14:textId="77777777" w:rsidTr="0002583C">
        <w:tc>
          <w:tcPr>
            <w:tcW w:w="1520" w:type="dxa"/>
            <w:vAlign w:val="center"/>
          </w:tcPr>
          <w:p w14:paraId="084F768C" w14:textId="77777777" w:rsidR="008F7C96" w:rsidRPr="002D0203" w:rsidRDefault="008F7C96" w:rsidP="0002583C">
            <w:pPr>
              <w:spacing w:line="360" w:lineRule="auto"/>
              <w:jc w:val="both"/>
              <w:rPr>
                <w:rFonts w:ascii="Arial" w:hAnsi="Arial" w:cs="Arial"/>
                <w:sz w:val="20"/>
                <w:szCs w:val="20"/>
              </w:rPr>
            </w:pPr>
            <w:r w:rsidRPr="002D0203">
              <w:rPr>
                <w:rFonts w:ascii="Arial" w:hAnsi="Arial" w:cs="Arial"/>
                <w:sz w:val="20"/>
                <w:szCs w:val="20"/>
              </w:rPr>
              <w:t>Hom</w:t>
            </w:r>
          </w:p>
        </w:tc>
        <w:tc>
          <w:tcPr>
            <w:tcW w:w="1355" w:type="dxa"/>
            <w:vAlign w:val="center"/>
          </w:tcPr>
          <w:p w14:paraId="28E768DF" w14:textId="77777777" w:rsidR="008F7C96" w:rsidRDefault="008F7C96" w:rsidP="0002583C">
            <w:pPr>
              <w:jc w:val="center"/>
              <w:rPr>
                <w:rFonts w:ascii="Arial" w:hAnsi="Arial" w:cs="Arial"/>
                <w:sz w:val="20"/>
                <w:szCs w:val="20"/>
              </w:rPr>
            </w:pPr>
            <w:r>
              <w:rPr>
                <w:rFonts w:ascii="Arial" w:hAnsi="Arial" w:cs="Arial"/>
                <w:sz w:val="20"/>
                <w:szCs w:val="20"/>
              </w:rPr>
              <w:t>0,000</w:t>
            </w:r>
          </w:p>
          <w:p w14:paraId="2A18216A" w14:textId="2F039BD8" w:rsidR="008F7C96"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0,0827</w:t>
            </w:r>
            <w:r>
              <w:rPr>
                <w:rFonts w:ascii="Arial" w:hAnsi="Arial" w:cs="Arial"/>
                <w:sz w:val="20"/>
                <w:szCs w:val="20"/>
              </w:rPr>
              <w:t>]</w:t>
            </w:r>
          </w:p>
          <w:p w14:paraId="3D348F74" w14:textId="2CEA0D97" w:rsidR="008F7C96" w:rsidRPr="002D0203" w:rsidRDefault="008F7C96" w:rsidP="0002583C">
            <w:pPr>
              <w:jc w:val="center"/>
              <w:rPr>
                <w:rFonts w:ascii="Arial" w:hAnsi="Arial" w:cs="Arial"/>
                <w:sz w:val="20"/>
                <w:szCs w:val="20"/>
              </w:rPr>
            </w:pPr>
          </w:p>
        </w:tc>
        <w:tc>
          <w:tcPr>
            <w:tcW w:w="1355" w:type="dxa"/>
            <w:vAlign w:val="center"/>
          </w:tcPr>
          <w:p w14:paraId="6F649082" w14:textId="77777777" w:rsidR="008F7C96" w:rsidRDefault="008E35A8" w:rsidP="0002583C">
            <w:pPr>
              <w:jc w:val="center"/>
              <w:rPr>
                <w:rFonts w:ascii="Arial" w:hAnsi="Arial" w:cs="Arial"/>
                <w:sz w:val="20"/>
                <w:szCs w:val="20"/>
              </w:rPr>
            </w:pPr>
            <w:r>
              <w:rPr>
                <w:rFonts w:ascii="Arial" w:hAnsi="Arial" w:cs="Arial"/>
                <w:sz w:val="20"/>
                <w:szCs w:val="20"/>
              </w:rPr>
              <w:t>0,000</w:t>
            </w:r>
          </w:p>
          <w:p w14:paraId="000A3C21" w14:textId="68C37740"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0,1263</w:t>
            </w:r>
            <w:r>
              <w:rPr>
                <w:rFonts w:ascii="Arial" w:hAnsi="Arial" w:cs="Arial"/>
                <w:sz w:val="20"/>
                <w:szCs w:val="20"/>
              </w:rPr>
              <w:t>]</w:t>
            </w:r>
          </w:p>
          <w:p w14:paraId="7E3A8AA4" w14:textId="4025AA7C" w:rsidR="008E35A8" w:rsidRPr="002D0203" w:rsidRDefault="008E35A8" w:rsidP="0002583C">
            <w:pPr>
              <w:jc w:val="center"/>
              <w:rPr>
                <w:rFonts w:ascii="Arial" w:hAnsi="Arial" w:cs="Arial"/>
                <w:sz w:val="20"/>
                <w:szCs w:val="20"/>
              </w:rPr>
            </w:pPr>
          </w:p>
        </w:tc>
        <w:tc>
          <w:tcPr>
            <w:tcW w:w="1355" w:type="dxa"/>
            <w:vAlign w:val="center"/>
          </w:tcPr>
          <w:p w14:paraId="3FE282CD" w14:textId="77777777" w:rsidR="008F7C96" w:rsidRDefault="008E35A8" w:rsidP="0002583C">
            <w:pPr>
              <w:jc w:val="center"/>
              <w:rPr>
                <w:rFonts w:ascii="Arial" w:hAnsi="Arial" w:cs="Arial"/>
                <w:sz w:val="20"/>
                <w:szCs w:val="20"/>
              </w:rPr>
            </w:pPr>
            <w:r>
              <w:rPr>
                <w:rFonts w:ascii="Arial" w:hAnsi="Arial" w:cs="Arial"/>
                <w:sz w:val="20"/>
                <w:szCs w:val="20"/>
              </w:rPr>
              <w:t>0,000</w:t>
            </w:r>
          </w:p>
          <w:p w14:paraId="4CA0DF12" w14:textId="21873210" w:rsidR="008E35A8" w:rsidRDefault="0097513B" w:rsidP="0002583C">
            <w:pPr>
              <w:jc w:val="center"/>
              <w:rPr>
                <w:rFonts w:ascii="Arial" w:hAnsi="Arial" w:cs="Arial"/>
                <w:sz w:val="20"/>
                <w:szCs w:val="20"/>
              </w:rPr>
            </w:pPr>
            <w:r>
              <w:rPr>
                <w:rFonts w:ascii="Arial" w:hAnsi="Arial" w:cs="Arial"/>
                <w:sz w:val="20"/>
                <w:szCs w:val="20"/>
              </w:rPr>
              <w:t>[</w:t>
            </w:r>
            <w:r w:rsidR="008E35A8">
              <w:rPr>
                <w:rFonts w:ascii="Arial" w:hAnsi="Arial" w:cs="Arial"/>
                <w:sz w:val="20"/>
                <w:szCs w:val="20"/>
              </w:rPr>
              <w:t>0,</w:t>
            </w:r>
            <w:r w:rsidR="009A5F99">
              <w:rPr>
                <w:rFonts w:ascii="Arial" w:hAnsi="Arial" w:cs="Arial"/>
                <w:sz w:val="20"/>
                <w:szCs w:val="20"/>
              </w:rPr>
              <w:t>1630</w:t>
            </w:r>
            <w:r>
              <w:rPr>
                <w:rFonts w:ascii="Arial" w:hAnsi="Arial" w:cs="Arial"/>
                <w:sz w:val="20"/>
                <w:szCs w:val="20"/>
              </w:rPr>
              <w:t>]</w:t>
            </w:r>
          </w:p>
          <w:p w14:paraId="0C021005" w14:textId="657B7769" w:rsidR="008E35A8" w:rsidRPr="002D0203" w:rsidRDefault="008E35A8" w:rsidP="0002583C">
            <w:pPr>
              <w:jc w:val="center"/>
              <w:rPr>
                <w:rFonts w:ascii="Arial" w:hAnsi="Arial" w:cs="Arial"/>
                <w:sz w:val="20"/>
                <w:szCs w:val="20"/>
              </w:rPr>
            </w:pPr>
          </w:p>
        </w:tc>
        <w:tc>
          <w:tcPr>
            <w:tcW w:w="1356" w:type="dxa"/>
            <w:vAlign w:val="center"/>
          </w:tcPr>
          <w:p w14:paraId="1D480B11" w14:textId="77777777" w:rsidR="008F7C96" w:rsidRDefault="008E35A8" w:rsidP="0002583C">
            <w:pPr>
              <w:jc w:val="center"/>
              <w:rPr>
                <w:rFonts w:ascii="Arial" w:hAnsi="Arial" w:cs="Arial"/>
                <w:sz w:val="20"/>
                <w:szCs w:val="20"/>
              </w:rPr>
            </w:pPr>
            <w:r>
              <w:rPr>
                <w:rFonts w:ascii="Arial" w:hAnsi="Arial" w:cs="Arial"/>
                <w:sz w:val="20"/>
                <w:szCs w:val="20"/>
              </w:rPr>
              <w:t>0,000</w:t>
            </w:r>
          </w:p>
          <w:p w14:paraId="3FD0DA9A" w14:textId="209365F3" w:rsidR="008E35A8" w:rsidRDefault="0097513B" w:rsidP="0002583C">
            <w:pPr>
              <w:jc w:val="center"/>
              <w:rPr>
                <w:rFonts w:ascii="Arial" w:hAnsi="Arial" w:cs="Arial"/>
                <w:sz w:val="20"/>
                <w:szCs w:val="20"/>
              </w:rPr>
            </w:pPr>
            <w:r>
              <w:rPr>
                <w:rFonts w:ascii="Arial" w:hAnsi="Arial" w:cs="Arial"/>
                <w:sz w:val="20"/>
                <w:szCs w:val="20"/>
              </w:rPr>
              <w:t>[</w:t>
            </w:r>
            <w:r w:rsidR="008E35A8">
              <w:rPr>
                <w:rFonts w:ascii="Arial" w:hAnsi="Arial" w:cs="Arial"/>
                <w:sz w:val="20"/>
                <w:szCs w:val="20"/>
              </w:rPr>
              <w:t>0,</w:t>
            </w:r>
            <w:r w:rsidR="009A5F99">
              <w:rPr>
                <w:rFonts w:ascii="Arial" w:hAnsi="Arial" w:cs="Arial"/>
                <w:sz w:val="20"/>
                <w:szCs w:val="20"/>
              </w:rPr>
              <w:t>1855</w:t>
            </w:r>
            <w:r>
              <w:rPr>
                <w:rFonts w:ascii="Arial" w:hAnsi="Arial" w:cs="Arial"/>
                <w:sz w:val="20"/>
                <w:szCs w:val="20"/>
              </w:rPr>
              <w:t>]</w:t>
            </w:r>
          </w:p>
          <w:p w14:paraId="74A582F8" w14:textId="7009B77B" w:rsidR="008E35A8" w:rsidRPr="002D0203" w:rsidRDefault="008E35A8" w:rsidP="0002583C">
            <w:pPr>
              <w:jc w:val="center"/>
              <w:rPr>
                <w:rFonts w:ascii="Arial" w:hAnsi="Arial" w:cs="Arial"/>
                <w:sz w:val="20"/>
                <w:szCs w:val="20"/>
              </w:rPr>
            </w:pPr>
          </w:p>
        </w:tc>
        <w:tc>
          <w:tcPr>
            <w:tcW w:w="1547" w:type="dxa"/>
            <w:vAlign w:val="center"/>
          </w:tcPr>
          <w:p w14:paraId="78E06DFB" w14:textId="77777777" w:rsidR="008F7C96" w:rsidRDefault="008E35A8" w:rsidP="0002583C">
            <w:pPr>
              <w:jc w:val="center"/>
              <w:rPr>
                <w:rFonts w:ascii="Arial" w:hAnsi="Arial" w:cs="Arial"/>
                <w:sz w:val="20"/>
                <w:szCs w:val="20"/>
              </w:rPr>
            </w:pPr>
            <w:r>
              <w:rPr>
                <w:rFonts w:ascii="Arial" w:hAnsi="Arial" w:cs="Arial"/>
                <w:sz w:val="20"/>
                <w:szCs w:val="20"/>
              </w:rPr>
              <w:t>0,000</w:t>
            </w:r>
          </w:p>
          <w:p w14:paraId="77A2F9E3" w14:textId="0ABC6432" w:rsidR="008E35A8" w:rsidRDefault="0097513B" w:rsidP="0002583C">
            <w:pPr>
              <w:jc w:val="center"/>
              <w:rPr>
                <w:rFonts w:ascii="Arial" w:hAnsi="Arial" w:cs="Arial"/>
                <w:sz w:val="20"/>
                <w:szCs w:val="20"/>
              </w:rPr>
            </w:pPr>
            <w:r>
              <w:rPr>
                <w:rFonts w:ascii="Arial" w:hAnsi="Arial" w:cs="Arial"/>
                <w:sz w:val="20"/>
                <w:szCs w:val="20"/>
              </w:rPr>
              <w:t>[</w:t>
            </w:r>
            <w:r w:rsidR="009A5F99">
              <w:rPr>
                <w:rFonts w:ascii="Arial" w:hAnsi="Arial" w:cs="Arial"/>
                <w:sz w:val="20"/>
                <w:szCs w:val="20"/>
              </w:rPr>
              <w:t>- 0,0247</w:t>
            </w:r>
            <w:r>
              <w:rPr>
                <w:rFonts w:ascii="Arial" w:hAnsi="Arial" w:cs="Arial"/>
                <w:sz w:val="20"/>
                <w:szCs w:val="20"/>
              </w:rPr>
              <w:t>]</w:t>
            </w:r>
          </w:p>
          <w:p w14:paraId="3258367F" w14:textId="2CA601E2" w:rsidR="008E35A8" w:rsidRPr="002D0203" w:rsidRDefault="008E35A8" w:rsidP="0002583C">
            <w:pPr>
              <w:jc w:val="center"/>
              <w:rPr>
                <w:rFonts w:ascii="Arial" w:hAnsi="Arial" w:cs="Arial"/>
                <w:sz w:val="20"/>
                <w:szCs w:val="20"/>
              </w:rPr>
            </w:pPr>
          </w:p>
        </w:tc>
      </w:tr>
      <w:tr w:rsidR="008F7C96" w14:paraId="4A7ABD14" w14:textId="77777777" w:rsidTr="0002583C">
        <w:tc>
          <w:tcPr>
            <w:tcW w:w="1520" w:type="dxa"/>
            <w:vAlign w:val="center"/>
          </w:tcPr>
          <w:p w14:paraId="1DB5C064" w14:textId="7CB82EB1" w:rsidR="008F7C96" w:rsidRPr="002D0203" w:rsidRDefault="008F7C96" w:rsidP="0002583C">
            <w:pPr>
              <w:spacing w:line="360" w:lineRule="auto"/>
              <w:jc w:val="both"/>
              <w:rPr>
                <w:rFonts w:ascii="Arial" w:hAnsi="Arial" w:cs="Arial"/>
                <w:sz w:val="20"/>
                <w:szCs w:val="20"/>
              </w:rPr>
            </w:pPr>
            <w:r>
              <w:rPr>
                <w:rFonts w:ascii="Arial" w:hAnsi="Arial" w:cs="Arial"/>
                <w:sz w:val="20"/>
                <w:szCs w:val="20"/>
              </w:rPr>
              <w:t>AM – C</w:t>
            </w:r>
          </w:p>
        </w:tc>
        <w:tc>
          <w:tcPr>
            <w:tcW w:w="1355" w:type="dxa"/>
            <w:vAlign w:val="center"/>
          </w:tcPr>
          <w:p w14:paraId="1C905F24" w14:textId="77777777" w:rsidR="008F7C96" w:rsidRDefault="008F7C96" w:rsidP="0002583C">
            <w:pPr>
              <w:jc w:val="center"/>
              <w:rPr>
                <w:rFonts w:ascii="Arial" w:hAnsi="Arial" w:cs="Arial"/>
                <w:sz w:val="20"/>
                <w:szCs w:val="20"/>
              </w:rPr>
            </w:pPr>
            <w:r>
              <w:rPr>
                <w:rFonts w:ascii="Arial" w:hAnsi="Arial" w:cs="Arial"/>
                <w:sz w:val="20"/>
                <w:szCs w:val="20"/>
              </w:rPr>
              <w:t>0,133</w:t>
            </w:r>
          </w:p>
          <w:p w14:paraId="523AC86C" w14:textId="592FDF24" w:rsidR="008F7C96" w:rsidRDefault="008F7C96" w:rsidP="0002583C">
            <w:pPr>
              <w:jc w:val="center"/>
              <w:rPr>
                <w:rFonts w:ascii="Arial" w:hAnsi="Arial" w:cs="Arial"/>
                <w:sz w:val="20"/>
                <w:szCs w:val="20"/>
              </w:rPr>
            </w:pPr>
          </w:p>
        </w:tc>
        <w:tc>
          <w:tcPr>
            <w:tcW w:w="1355" w:type="dxa"/>
            <w:vAlign w:val="center"/>
          </w:tcPr>
          <w:p w14:paraId="7DEA6C63" w14:textId="77777777" w:rsidR="008F7C96" w:rsidRDefault="008E35A8" w:rsidP="0002583C">
            <w:pPr>
              <w:jc w:val="center"/>
              <w:rPr>
                <w:rFonts w:ascii="Arial" w:hAnsi="Arial" w:cs="Arial"/>
                <w:sz w:val="20"/>
                <w:szCs w:val="20"/>
              </w:rPr>
            </w:pPr>
            <w:r>
              <w:rPr>
                <w:rFonts w:ascii="Arial" w:hAnsi="Arial" w:cs="Arial"/>
                <w:sz w:val="20"/>
                <w:szCs w:val="20"/>
              </w:rPr>
              <w:t>0,004</w:t>
            </w:r>
          </w:p>
          <w:p w14:paraId="722872EA" w14:textId="34E2DAA3" w:rsidR="008E35A8" w:rsidRPr="002D0203" w:rsidRDefault="008E35A8" w:rsidP="0002583C">
            <w:pPr>
              <w:jc w:val="center"/>
              <w:rPr>
                <w:rFonts w:ascii="Arial" w:hAnsi="Arial" w:cs="Arial"/>
                <w:sz w:val="20"/>
                <w:szCs w:val="20"/>
              </w:rPr>
            </w:pPr>
          </w:p>
        </w:tc>
        <w:tc>
          <w:tcPr>
            <w:tcW w:w="1355" w:type="dxa"/>
            <w:vAlign w:val="center"/>
          </w:tcPr>
          <w:p w14:paraId="2295B67B" w14:textId="77777777" w:rsidR="008F7C96" w:rsidRDefault="008E35A8" w:rsidP="0002583C">
            <w:pPr>
              <w:jc w:val="center"/>
              <w:rPr>
                <w:rFonts w:ascii="Arial" w:hAnsi="Arial" w:cs="Arial"/>
                <w:sz w:val="20"/>
                <w:szCs w:val="20"/>
              </w:rPr>
            </w:pPr>
            <w:r>
              <w:rPr>
                <w:rFonts w:ascii="Arial" w:hAnsi="Arial" w:cs="Arial"/>
                <w:sz w:val="20"/>
                <w:szCs w:val="20"/>
              </w:rPr>
              <w:t>- 0,080</w:t>
            </w:r>
          </w:p>
          <w:p w14:paraId="2AAED059" w14:textId="4354ADA0" w:rsidR="008E35A8" w:rsidRPr="002D0203" w:rsidRDefault="008E35A8" w:rsidP="0002583C">
            <w:pPr>
              <w:jc w:val="center"/>
              <w:rPr>
                <w:rFonts w:ascii="Arial" w:hAnsi="Arial" w:cs="Arial"/>
                <w:sz w:val="20"/>
                <w:szCs w:val="20"/>
              </w:rPr>
            </w:pPr>
          </w:p>
        </w:tc>
        <w:tc>
          <w:tcPr>
            <w:tcW w:w="1356" w:type="dxa"/>
            <w:vAlign w:val="center"/>
          </w:tcPr>
          <w:p w14:paraId="055A3DBE" w14:textId="77777777" w:rsidR="008F7C96" w:rsidRDefault="008E35A8" w:rsidP="0002583C">
            <w:pPr>
              <w:jc w:val="center"/>
              <w:rPr>
                <w:rFonts w:ascii="Arial" w:hAnsi="Arial" w:cs="Arial"/>
                <w:sz w:val="20"/>
                <w:szCs w:val="20"/>
              </w:rPr>
            </w:pPr>
            <w:r>
              <w:rPr>
                <w:rFonts w:ascii="Arial" w:hAnsi="Arial" w:cs="Arial"/>
                <w:sz w:val="20"/>
                <w:szCs w:val="20"/>
              </w:rPr>
              <w:t>0,084</w:t>
            </w:r>
          </w:p>
          <w:p w14:paraId="16B6AA1F" w14:textId="400E72E3" w:rsidR="008E35A8" w:rsidRPr="002D0203" w:rsidRDefault="008E35A8" w:rsidP="0002583C">
            <w:pPr>
              <w:jc w:val="center"/>
              <w:rPr>
                <w:rFonts w:ascii="Arial" w:hAnsi="Arial" w:cs="Arial"/>
                <w:sz w:val="20"/>
                <w:szCs w:val="20"/>
              </w:rPr>
            </w:pPr>
          </w:p>
        </w:tc>
        <w:tc>
          <w:tcPr>
            <w:tcW w:w="1547" w:type="dxa"/>
            <w:vAlign w:val="center"/>
          </w:tcPr>
          <w:p w14:paraId="6CD917BB" w14:textId="77777777" w:rsidR="008F7C96" w:rsidRDefault="008E35A8" w:rsidP="0002583C">
            <w:pPr>
              <w:jc w:val="center"/>
              <w:rPr>
                <w:rFonts w:ascii="Arial" w:hAnsi="Arial" w:cs="Arial"/>
                <w:sz w:val="20"/>
                <w:szCs w:val="20"/>
              </w:rPr>
            </w:pPr>
            <w:r>
              <w:rPr>
                <w:rFonts w:ascii="Arial" w:hAnsi="Arial" w:cs="Arial"/>
                <w:sz w:val="20"/>
                <w:szCs w:val="20"/>
              </w:rPr>
              <w:t>0,026</w:t>
            </w:r>
          </w:p>
          <w:p w14:paraId="0A2BB992" w14:textId="1F9EE42D" w:rsidR="008E35A8" w:rsidRPr="002D0203" w:rsidRDefault="008E35A8" w:rsidP="0002583C">
            <w:pPr>
              <w:jc w:val="center"/>
              <w:rPr>
                <w:rFonts w:ascii="Arial" w:hAnsi="Arial" w:cs="Arial"/>
                <w:sz w:val="20"/>
                <w:szCs w:val="20"/>
              </w:rPr>
            </w:pPr>
          </w:p>
        </w:tc>
      </w:tr>
      <w:tr w:rsidR="008F7C96" w14:paraId="1F04CBED" w14:textId="77777777" w:rsidTr="0002583C">
        <w:tc>
          <w:tcPr>
            <w:tcW w:w="1520" w:type="dxa"/>
            <w:vAlign w:val="center"/>
          </w:tcPr>
          <w:p w14:paraId="61B47417" w14:textId="45017BA4" w:rsidR="008F7C96" w:rsidRPr="002D0203" w:rsidRDefault="008F7C96" w:rsidP="0002583C">
            <w:pPr>
              <w:spacing w:line="360" w:lineRule="auto"/>
              <w:jc w:val="both"/>
              <w:rPr>
                <w:rFonts w:ascii="Arial" w:hAnsi="Arial" w:cs="Arial"/>
                <w:sz w:val="20"/>
                <w:szCs w:val="20"/>
              </w:rPr>
            </w:pPr>
            <w:r>
              <w:rPr>
                <w:rFonts w:ascii="Arial" w:hAnsi="Arial" w:cs="Arial"/>
                <w:sz w:val="20"/>
                <w:szCs w:val="20"/>
              </w:rPr>
              <w:t>AC – C</w:t>
            </w:r>
          </w:p>
        </w:tc>
        <w:tc>
          <w:tcPr>
            <w:tcW w:w="1355" w:type="dxa"/>
            <w:vAlign w:val="center"/>
          </w:tcPr>
          <w:p w14:paraId="07856534" w14:textId="77777777" w:rsidR="008F7C96" w:rsidRDefault="008F7C96" w:rsidP="0002583C">
            <w:pPr>
              <w:jc w:val="center"/>
              <w:rPr>
                <w:rFonts w:ascii="Arial" w:hAnsi="Arial" w:cs="Arial"/>
                <w:sz w:val="20"/>
                <w:szCs w:val="20"/>
              </w:rPr>
            </w:pPr>
            <w:r>
              <w:rPr>
                <w:rFonts w:ascii="Arial" w:hAnsi="Arial" w:cs="Arial"/>
                <w:sz w:val="20"/>
                <w:szCs w:val="20"/>
              </w:rPr>
              <w:t>- 0,290</w:t>
            </w:r>
          </w:p>
          <w:p w14:paraId="5C524985" w14:textId="1CE7E693" w:rsidR="008F7C96" w:rsidRDefault="008F7C96" w:rsidP="0002583C">
            <w:pPr>
              <w:jc w:val="center"/>
              <w:rPr>
                <w:rFonts w:ascii="Arial" w:hAnsi="Arial" w:cs="Arial"/>
                <w:sz w:val="20"/>
                <w:szCs w:val="20"/>
              </w:rPr>
            </w:pPr>
          </w:p>
        </w:tc>
        <w:tc>
          <w:tcPr>
            <w:tcW w:w="1355" w:type="dxa"/>
            <w:vAlign w:val="center"/>
          </w:tcPr>
          <w:p w14:paraId="1C8B7118" w14:textId="77777777" w:rsidR="008F7C96" w:rsidRDefault="008E35A8" w:rsidP="0002583C">
            <w:pPr>
              <w:jc w:val="center"/>
              <w:rPr>
                <w:rFonts w:ascii="Arial" w:hAnsi="Arial" w:cs="Arial"/>
                <w:sz w:val="20"/>
                <w:szCs w:val="20"/>
              </w:rPr>
            </w:pPr>
            <w:r>
              <w:rPr>
                <w:rFonts w:ascii="Arial" w:hAnsi="Arial" w:cs="Arial"/>
                <w:sz w:val="20"/>
                <w:szCs w:val="20"/>
              </w:rPr>
              <w:t>- 0,062</w:t>
            </w:r>
          </w:p>
          <w:p w14:paraId="066E11BE" w14:textId="2243C28D" w:rsidR="008E35A8" w:rsidRPr="002D0203" w:rsidRDefault="008E35A8" w:rsidP="0002583C">
            <w:pPr>
              <w:jc w:val="center"/>
              <w:rPr>
                <w:rFonts w:ascii="Arial" w:hAnsi="Arial" w:cs="Arial"/>
                <w:sz w:val="20"/>
                <w:szCs w:val="20"/>
              </w:rPr>
            </w:pPr>
          </w:p>
        </w:tc>
        <w:tc>
          <w:tcPr>
            <w:tcW w:w="1355" w:type="dxa"/>
            <w:vAlign w:val="center"/>
          </w:tcPr>
          <w:p w14:paraId="27DE5FE7" w14:textId="77777777" w:rsidR="008F7C96" w:rsidRDefault="008E35A8" w:rsidP="0002583C">
            <w:pPr>
              <w:jc w:val="center"/>
              <w:rPr>
                <w:rFonts w:ascii="Arial" w:hAnsi="Arial" w:cs="Arial"/>
                <w:sz w:val="20"/>
                <w:szCs w:val="20"/>
              </w:rPr>
            </w:pPr>
            <w:r>
              <w:rPr>
                <w:rFonts w:ascii="Arial" w:hAnsi="Arial" w:cs="Arial"/>
                <w:sz w:val="20"/>
                <w:szCs w:val="20"/>
              </w:rPr>
              <w:t>0,117</w:t>
            </w:r>
          </w:p>
          <w:p w14:paraId="14085000" w14:textId="6897EFFB" w:rsidR="008E35A8" w:rsidRPr="002D0203" w:rsidRDefault="008E35A8" w:rsidP="0002583C">
            <w:pPr>
              <w:jc w:val="center"/>
              <w:rPr>
                <w:rFonts w:ascii="Arial" w:hAnsi="Arial" w:cs="Arial"/>
                <w:sz w:val="20"/>
                <w:szCs w:val="20"/>
              </w:rPr>
            </w:pPr>
          </w:p>
        </w:tc>
        <w:tc>
          <w:tcPr>
            <w:tcW w:w="1356" w:type="dxa"/>
            <w:vAlign w:val="center"/>
          </w:tcPr>
          <w:p w14:paraId="225296B6" w14:textId="77777777" w:rsidR="008F7C96" w:rsidRDefault="008E35A8" w:rsidP="0002583C">
            <w:pPr>
              <w:jc w:val="center"/>
              <w:rPr>
                <w:rFonts w:ascii="Arial" w:hAnsi="Arial" w:cs="Arial"/>
                <w:sz w:val="20"/>
                <w:szCs w:val="20"/>
              </w:rPr>
            </w:pPr>
            <w:r>
              <w:rPr>
                <w:rFonts w:ascii="Arial" w:hAnsi="Arial" w:cs="Arial"/>
                <w:sz w:val="20"/>
                <w:szCs w:val="20"/>
              </w:rPr>
              <w:t>- 0,206</w:t>
            </w:r>
          </w:p>
          <w:p w14:paraId="62DE8336" w14:textId="2968535B" w:rsidR="008E35A8" w:rsidRPr="002D0203" w:rsidRDefault="008E35A8" w:rsidP="0002583C">
            <w:pPr>
              <w:jc w:val="center"/>
              <w:rPr>
                <w:rFonts w:ascii="Arial" w:hAnsi="Arial" w:cs="Arial"/>
                <w:sz w:val="20"/>
                <w:szCs w:val="20"/>
              </w:rPr>
            </w:pPr>
          </w:p>
        </w:tc>
        <w:tc>
          <w:tcPr>
            <w:tcW w:w="1547" w:type="dxa"/>
            <w:vAlign w:val="center"/>
          </w:tcPr>
          <w:p w14:paraId="0B50EE9E" w14:textId="77777777" w:rsidR="008F7C96" w:rsidRDefault="008E35A8" w:rsidP="0002583C">
            <w:pPr>
              <w:jc w:val="center"/>
              <w:rPr>
                <w:rFonts w:ascii="Arial" w:hAnsi="Arial" w:cs="Arial"/>
                <w:sz w:val="20"/>
                <w:szCs w:val="20"/>
              </w:rPr>
            </w:pPr>
            <w:r>
              <w:rPr>
                <w:rFonts w:ascii="Arial" w:hAnsi="Arial" w:cs="Arial"/>
                <w:sz w:val="20"/>
                <w:szCs w:val="20"/>
              </w:rPr>
              <w:t>- 0,062</w:t>
            </w:r>
          </w:p>
          <w:p w14:paraId="31B244C3" w14:textId="6043278B" w:rsidR="008E35A8" w:rsidRPr="002D0203" w:rsidRDefault="008E35A8" w:rsidP="0002583C">
            <w:pPr>
              <w:jc w:val="center"/>
              <w:rPr>
                <w:rFonts w:ascii="Arial" w:hAnsi="Arial" w:cs="Arial"/>
                <w:sz w:val="20"/>
                <w:szCs w:val="20"/>
              </w:rPr>
            </w:pPr>
          </w:p>
        </w:tc>
      </w:tr>
      <w:tr w:rsidR="008F7C96" w14:paraId="3523704B" w14:textId="77777777" w:rsidTr="0002583C">
        <w:tc>
          <w:tcPr>
            <w:tcW w:w="1520" w:type="dxa"/>
            <w:vAlign w:val="center"/>
          </w:tcPr>
          <w:p w14:paraId="161009D5" w14:textId="3D771326" w:rsidR="008F7C96" w:rsidRPr="002D0203" w:rsidRDefault="008F7C96" w:rsidP="0002583C">
            <w:pPr>
              <w:spacing w:line="360" w:lineRule="auto"/>
              <w:jc w:val="both"/>
              <w:rPr>
                <w:rFonts w:ascii="Arial" w:hAnsi="Arial" w:cs="Arial"/>
                <w:sz w:val="20"/>
                <w:szCs w:val="20"/>
              </w:rPr>
            </w:pPr>
            <w:r>
              <w:rPr>
                <w:rFonts w:ascii="Arial" w:hAnsi="Arial" w:cs="Arial"/>
                <w:sz w:val="20"/>
                <w:szCs w:val="20"/>
              </w:rPr>
              <w:t>RO – C</w:t>
            </w:r>
          </w:p>
        </w:tc>
        <w:tc>
          <w:tcPr>
            <w:tcW w:w="1355" w:type="dxa"/>
            <w:vAlign w:val="center"/>
          </w:tcPr>
          <w:p w14:paraId="6801EBCB" w14:textId="77777777" w:rsidR="008F7C96" w:rsidRDefault="008F7C96" w:rsidP="0002583C">
            <w:pPr>
              <w:jc w:val="center"/>
              <w:rPr>
                <w:rFonts w:ascii="Arial" w:hAnsi="Arial" w:cs="Arial"/>
                <w:sz w:val="20"/>
                <w:szCs w:val="20"/>
              </w:rPr>
            </w:pPr>
            <w:r>
              <w:rPr>
                <w:rFonts w:ascii="Arial" w:hAnsi="Arial" w:cs="Arial"/>
                <w:sz w:val="20"/>
                <w:szCs w:val="20"/>
              </w:rPr>
              <w:t>0,101</w:t>
            </w:r>
          </w:p>
          <w:p w14:paraId="7CC4FB30" w14:textId="1896B09B" w:rsidR="008F7C96" w:rsidRDefault="008F7C96" w:rsidP="0002583C">
            <w:pPr>
              <w:jc w:val="center"/>
              <w:rPr>
                <w:rFonts w:ascii="Arial" w:hAnsi="Arial" w:cs="Arial"/>
                <w:sz w:val="20"/>
                <w:szCs w:val="20"/>
              </w:rPr>
            </w:pPr>
          </w:p>
        </w:tc>
        <w:tc>
          <w:tcPr>
            <w:tcW w:w="1355" w:type="dxa"/>
            <w:vAlign w:val="center"/>
          </w:tcPr>
          <w:p w14:paraId="62E6A84A" w14:textId="77777777" w:rsidR="008F7C96" w:rsidRDefault="008E35A8" w:rsidP="0002583C">
            <w:pPr>
              <w:jc w:val="center"/>
              <w:rPr>
                <w:rFonts w:ascii="Arial" w:hAnsi="Arial" w:cs="Arial"/>
                <w:sz w:val="20"/>
                <w:szCs w:val="20"/>
              </w:rPr>
            </w:pPr>
            <w:r>
              <w:rPr>
                <w:rFonts w:ascii="Arial" w:hAnsi="Arial" w:cs="Arial"/>
                <w:sz w:val="20"/>
                <w:szCs w:val="20"/>
              </w:rPr>
              <w:t>- 0,033</w:t>
            </w:r>
          </w:p>
          <w:p w14:paraId="1AEA0601" w14:textId="23D95034" w:rsidR="008E35A8" w:rsidRPr="002D0203" w:rsidRDefault="008E35A8" w:rsidP="0002583C">
            <w:pPr>
              <w:jc w:val="center"/>
              <w:rPr>
                <w:rFonts w:ascii="Arial" w:hAnsi="Arial" w:cs="Arial"/>
                <w:sz w:val="20"/>
                <w:szCs w:val="20"/>
              </w:rPr>
            </w:pPr>
          </w:p>
        </w:tc>
        <w:tc>
          <w:tcPr>
            <w:tcW w:w="1355" w:type="dxa"/>
            <w:vAlign w:val="center"/>
          </w:tcPr>
          <w:p w14:paraId="05F24EBA" w14:textId="77777777" w:rsidR="008F7C96" w:rsidRDefault="008E35A8" w:rsidP="0002583C">
            <w:pPr>
              <w:jc w:val="center"/>
              <w:rPr>
                <w:rFonts w:ascii="Arial" w:hAnsi="Arial" w:cs="Arial"/>
                <w:sz w:val="20"/>
                <w:szCs w:val="20"/>
              </w:rPr>
            </w:pPr>
            <w:r>
              <w:rPr>
                <w:rFonts w:ascii="Arial" w:hAnsi="Arial" w:cs="Arial"/>
                <w:sz w:val="20"/>
                <w:szCs w:val="20"/>
              </w:rPr>
              <w:t>- 0,155</w:t>
            </w:r>
          </w:p>
          <w:p w14:paraId="3D034932" w14:textId="2BE832D1" w:rsidR="008E35A8" w:rsidRPr="002D0203" w:rsidRDefault="008E35A8" w:rsidP="0002583C">
            <w:pPr>
              <w:jc w:val="center"/>
              <w:rPr>
                <w:rFonts w:ascii="Arial" w:hAnsi="Arial" w:cs="Arial"/>
                <w:sz w:val="20"/>
                <w:szCs w:val="20"/>
              </w:rPr>
            </w:pPr>
          </w:p>
        </w:tc>
        <w:tc>
          <w:tcPr>
            <w:tcW w:w="1356" w:type="dxa"/>
            <w:vAlign w:val="center"/>
          </w:tcPr>
          <w:p w14:paraId="080E5850" w14:textId="77777777" w:rsidR="008F7C96" w:rsidRDefault="008E35A8" w:rsidP="0002583C">
            <w:pPr>
              <w:jc w:val="center"/>
              <w:rPr>
                <w:rFonts w:ascii="Arial" w:hAnsi="Arial" w:cs="Arial"/>
                <w:sz w:val="20"/>
                <w:szCs w:val="20"/>
              </w:rPr>
            </w:pPr>
            <w:r>
              <w:rPr>
                <w:rFonts w:ascii="Arial" w:hAnsi="Arial" w:cs="Arial"/>
                <w:sz w:val="20"/>
                <w:szCs w:val="20"/>
              </w:rPr>
              <w:t>0,060</w:t>
            </w:r>
          </w:p>
          <w:p w14:paraId="40C0EF22" w14:textId="5365EBA7" w:rsidR="008E35A8" w:rsidRPr="002D0203" w:rsidRDefault="008E35A8" w:rsidP="0002583C">
            <w:pPr>
              <w:jc w:val="center"/>
              <w:rPr>
                <w:rFonts w:ascii="Arial" w:hAnsi="Arial" w:cs="Arial"/>
                <w:sz w:val="20"/>
                <w:szCs w:val="20"/>
              </w:rPr>
            </w:pPr>
          </w:p>
        </w:tc>
        <w:tc>
          <w:tcPr>
            <w:tcW w:w="1547" w:type="dxa"/>
            <w:vAlign w:val="center"/>
          </w:tcPr>
          <w:p w14:paraId="7AAC5AC2" w14:textId="77777777" w:rsidR="008F7C96" w:rsidRDefault="008E35A8" w:rsidP="0002583C">
            <w:pPr>
              <w:jc w:val="center"/>
              <w:rPr>
                <w:rFonts w:ascii="Arial" w:hAnsi="Arial" w:cs="Arial"/>
                <w:sz w:val="20"/>
                <w:szCs w:val="20"/>
              </w:rPr>
            </w:pPr>
            <w:r>
              <w:rPr>
                <w:rFonts w:ascii="Arial" w:hAnsi="Arial" w:cs="Arial"/>
                <w:sz w:val="20"/>
                <w:szCs w:val="20"/>
              </w:rPr>
              <w:t>- 0,066</w:t>
            </w:r>
          </w:p>
          <w:p w14:paraId="31B62E85" w14:textId="4338F218" w:rsidR="008E35A8" w:rsidRPr="002D0203" w:rsidRDefault="008E35A8" w:rsidP="0002583C">
            <w:pPr>
              <w:jc w:val="center"/>
              <w:rPr>
                <w:rFonts w:ascii="Arial" w:hAnsi="Arial" w:cs="Arial"/>
                <w:sz w:val="20"/>
                <w:szCs w:val="20"/>
              </w:rPr>
            </w:pPr>
          </w:p>
        </w:tc>
      </w:tr>
      <w:tr w:rsidR="008F7C96" w14:paraId="5350F115" w14:textId="77777777" w:rsidTr="0002583C">
        <w:tc>
          <w:tcPr>
            <w:tcW w:w="1520" w:type="dxa"/>
            <w:vAlign w:val="center"/>
          </w:tcPr>
          <w:p w14:paraId="2B97CE21" w14:textId="46634BB3" w:rsidR="008F7C96" w:rsidRDefault="008F7C96" w:rsidP="0002583C">
            <w:pPr>
              <w:spacing w:line="360" w:lineRule="auto"/>
              <w:jc w:val="both"/>
              <w:rPr>
                <w:rFonts w:ascii="Arial" w:hAnsi="Arial" w:cs="Arial"/>
                <w:sz w:val="20"/>
                <w:szCs w:val="20"/>
              </w:rPr>
            </w:pPr>
            <w:r>
              <w:rPr>
                <w:rFonts w:ascii="Arial" w:hAnsi="Arial" w:cs="Arial"/>
                <w:sz w:val="20"/>
                <w:szCs w:val="20"/>
              </w:rPr>
              <w:t>RR – C</w:t>
            </w:r>
          </w:p>
        </w:tc>
        <w:tc>
          <w:tcPr>
            <w:tcW w:w="1355" w:type="dxa"/>
            <w:vAlign w:val="center"/>
          </w:tcPr>
          <w:p w14:paraId="70EA0375" w14:textId="77777777" w:rsidR="008F7C96" w:rsidRDefault="008F7C96" w:rsidP="0002583C">
            <w:pPr>
              <w:jc w:val="center"/>
              <w:rPr>
                <w:rFonts w:ascii="Arial" w:hAnsi="Arial" w:cs="Arial"/>
                <w:sz w:val="20"/>
                <w:szCs w:val="20"/>
              </w:rPr>
            </w:pPr>
            <w:r>
              <w:rPr>
                <w:rFonts w:ascii="Arial" w:hAnsi="Arial" w:cs="Arial"/>
                <w:sz w:val="20"/>
                <w:szCs w:val="20"/>
              </w:rPr>
              <w:t>- 0,353</w:t>
            </w:r>
          </w:p>
          <w:p w14:paraId="133FFCDF" w14:textId="2EAE546F" w:rsidR="008F7C96" w:rsidRDefault="008F7C96" w:rsidP="0002583C">
            <w:pPr>
              <w:jc w:val="center"/>
              <w:rPr>
                <w:rFonts w:ascii="Arial" w:hAnsi="Arial" w:cs="Arial"/>
                <w:sz w:val="20"/>
                <w:szCs w:val="20"/>
              </w:rPr>
            </w:pPr>
          </w:p>
        </w:tc>
        <w:tc>
          <w:tcPr>
            <w:tcW w:w="1355" w:type="dxa"/>
            <w:vAlign w:val="center"/>
          </w:tcPr>
          <w:p w14:paraId="26D60511" w14:textId="77777777" w:rsidR="008F7C96" w:rsidRDefault="008E35A8" w:rsidP="0002583C">
            <w:pPr>
              <w:jc w:val="center"/>
              <w:rPr>
                <w:rFonts w:ascii="Arial" w:hAnsi="Arial" w:cs="Arial"/>
                <w:sz w:val="20"/>
                <w:szCs w:val="20"/>
              </w:rPr>
            </w:pPr>
            <w:r>
              <w:rPr>
                <w:rFonts w:ascii="Arial" w:hAnsi="Arial" w:cs="Arial"/>
                <w:sz w:val="20"/>
                <w:szCs w:val="20"/>
              </w:rPr>
              <w:t>- 0,046</w:t>
            </w:r>
          </w:p>
          <w:p w14:paraId="3529A637" w14:textId="77663396" w:rsidR="008E35A8" w:rsidRPr="002D0203" w:rsidRDefault="008E35A8" w:rsidP="0002583C">
            <w:pPr>
              <w:jc w:val="center"/>
              <w:rPr>
                <w:rFonts w:ascii="Arial" w:hAnsi="Arial" w:cs="Arial"/>
                <w:sz w:val="20"/>
                <w:szCs w:val="20"/>
              </w:rPr>
            </w:pPr>
          </w:p>
        </w:tc>
        <w:tc>
          <w:tcPr>
            <w:tcW w:w="1355" w:type="dxa"/>
            <w:vAlign w:val="center"/>
          </w:tcPr>
          <w:p w14:paraId="7AB6580E" w14:textId="77777777" w:rsidR="008F7C96" w:rsidRDefault="008E35A8" w:rsidP="0002583C">
            <w:pPr>
              <w:jc w:val="center"/>
              <w:rPr>
                <w:rFonts w:ascii="Arial" w:hAnsi="Arial" w:cs="Arial"/>
                <w:sz w:val="20"/>
                <w:szCs w:val="20"/>
              </w:rPr>
            </w:pPr>
            <w:r>
              <w:rPr>
                <w:rFonts w:ascii="Arial" w:hAnsi="Arial" w:cs="Arial"/>
                <w:sz w:val="20"/>
                <w:szCs w:val="20"/>
              </w:rPr>
              <w:t>0,061</w:t>
            </w:r>
          </w:p>
          <w:p w14:paraId="6AC0381D" w14:textId="422403E6" w:rsidR="008E35A8" w:rsidRPr="002D0203" w:rsidRDefault="008E35A8" w:rsidP="0002583C">
            <w:pPr>
              <w:jc w:val="center"/>
              <w:rPr>
                <w:rFonts w:ascii="Arial" w:hAnsi="Arial" w:cs="Arial"/>
                <w:sz w:val="20"/>
                <w:szCs w:val="20"/>
              </w:rPr>
            </w:pPr>
          </w:p>
        </w:tc>
        <w:tc>
          <w:tcPr>
            <w:tcW w:w="1356" w:type="dxa"/>
            <w:vAlign w:val="center"/>
          </w:tcPr>
          <w:p w14:paraId="3E0FE884" w14:textId="77777777" w:rsidR="008F7C96" w:rsidRDefault="008E35A8" w:rsidP="0002583C">
            <w:pPr>
              <w:jc w:val="center"/>
              <w:rPr>
                <w:rFonts w:ascii="Arial" w:hAnsi="Arial" w:cs="Arial"/>
                <w:sz w:val="20"/>
                <w:szCs w:val="20"/>
              </w:rPr>
            </w:pPr>
            <w:r>
              <w:rPr>
                <w:rFonts w:ascii="Arial" w:hAnsi="Arial" w:cs="Arial"/>
                <w:sz w:val="20"/>
                <w:szCs w:val="20"/>
              </w:rPr>
              <w:t>- 0,252</w:t>
            </w:r>
          </w:p>
          <w:p w14:paraId="03A22D2B" w14:textId="56E58443" w:rsidR="008E35A8" w:rsidRPr="002D0203" w:rsidRDefault="008E35A8" w:rsidP="0002583C">
            <w:pPr>
              <w:jc w:val="center"/>
              <w:rPr>
                <w:rFonts w:ascii="Arial" w:hAnsi="Arial" w:cs="Arial"/>
                <w:sz w:val="20"/>
                <w:szCs w:val="20"/>
              </w:rPr>
            </w:pPr>
          </w:p>
        </w:tc>
        <w:tc>
          <w:tcPr>
            <w:tcW w:w="1547" w:type="dxa"/>
            <w:vAlign w:val="center"/>
          </w:tcPr>
          <w:p w14:paraId="3E63C69E" w14:textId="77777777" w:rsidR="008F7C96" w:rsidRDefault="008E35A8" w:rsidP="0002583C">
            <w:pPr>
              <w:jc w:val="center"/>
              <w:rPr>
                <w:rFonts w:ascii="Arial" w:hAnsi="Arial" w:cs="Arial"/>
                <w:sz w:val="20"/>
                <w:szCs w:val="20"/>
              </w:rPr>
            </w:pPr>
            <w:r>
              <w:rPr>
                <w:rFonts w:ascii="Arial" w:hAnsi="Arial" w:cs="Arial"/>
                <w:sz w:val="20"/>
                <w:szCs w:val="20"/>
              </w:rPr>
              <w:t>- 0,175</w:t>
            </w:r>
          </w:p>
          <w:p w14:paraId="6EDDF019" w14:textId="22A566C1" w:rsidR="008E35A8" w:rsidRPr="002D0203" w:rsidRDefault="008E35A8" w:rsidP="0002583C">
            <w:pPr>
              <w:jc w:val="center"/>
              <w:rPr>
                <w:rFonts w:ascii="Arial" w:hAnsi="Arial" w:cs="Arial"/>
                <w:sz w:val="20"/>
                <w:szCs w:val="20"/>
              </w:rPr>
            </w:pPr>
          </w:p>
        </w:tc>
      </w:tr>
      <w:tr w:rsidR="008F7C96" w14:paraId="2E0932B2" w14:textId="77777777" w:rsidTr="0002583C">
        <w:tc>
          <w:tcPr>
            <w:tcW w:w="1520" w:type="dxa"/>
            <w:vAlign w:val="center"/>
          </w:tcPr>
          <w:p w14:paraId="633D9229" w14:textId="73ED8616" w:rsidR="008F7C96" w:rsidRDefault="008F7C96" w:rsidP="0002583C">
            <w:pPr>
              <w:spacing w:line="360" w:lineRule="auto"/>
              <w:jc w:val="both"/>
              <w:rPr>
                <w:rFonts w:ascii="Arial" w:hAnsi="Arial" w:cs="Arial"/>
                <w:sz w:val="20"/>
                <w:szCs w:val="20"/>
              </w:rPr>
            </w:pPr>
            <w:r>
              <w:rPr>
                <w:rFonts w:ascii="Arial" w:hAnsi="Arial" w:cs="Arial"/>
                <w:sz w:val="20"/>
                <w:szCs w:val="20"/>
              </w:rPr>
              <w:t>AP – C</w:t>
            </w:r>
          </w:p>
        </w:tc>
        <w:tc>
          <w:tcPr>
            <w:tcW w:w="1355" w:type="dxa"/>
            <w:vAlign w:val="center"/>
          </w:tcPr>
          <w:p w14:paraId="19AD655C" w14:textId="77777777" w:rsidR="008F7C96" w:rsidRDefault="008F7C96" w:rsidP="0002583C">
            <w:pPr>
              <w:jc w:val="center"/>
              <w:rPr>
                <w:rFonts w:ascii="Arial" w:hAnsi="Arial" w:cs="Arial"/>
                <w:sz w:val="20"/>
                <w:szCs w:val="20"/>
              </w:rPr>
            </w:pPr>
            <w:r>
              <w:rPr>
                <w:rFonts w:ascii="Arial" w:hAnsi="Arial" w:cs="Arial"/>
                <w:sz w:val="20"/>
                <w:szCs w:val="20"/>
              </w:rPr>
              <w:t>0,644</w:t>
            </w:r>
          </w:p>
          <w:p w14:paraId="144BDEC9" w14:textId="1573E1E2" w:rsidR="008F7C96" w:rsidRDefault="008F7C96" w:rsidP="0002583C">
            <w:pPr>
              <w:jc w:val="center"/>
              <w:rPr>
                <w:rFonts w:ascii="Arial" w:hAnsi="Arial" w:cs="Arial"/>
                <w:sz w:val="20"/>
                <w:szCs w:val="20"/>
              </w:rPr>
            </w:pPr>
          </w:p>
        </w:tc>
        <w:tc>
          <w:tcPr>
            <w:tcW w:w="1355" w:type="dxa"/>
            <w:vAlign w:val="center"/>
          </w:tcPr>
          <w:p w14:paraId="3153A37D" w14:textId="77777777" w:rsidR="008F7C96" w:rsidRDefault="008E35A8" w:rsidP="0002583C">
            <w:pPr>
              <w:jc w:val="center"/>
              <w:rPr>
                <w:rFonts w:ascii="Arial" w:hAnsi="Arial" w:cs="Arial"/>
                <w:sz w:val="20"/>
                <w:szCs w:val="20"/>
              </w:rPr>
            </w:pPr>
            <w:r>
              <w:rPr>
                <w:rFonts w:ascii="Arial" w:hAnsi="Arial" w:cs="Arial"/>
                <w:sz w:val="20"/>
                <w:szCs w:val="20"/>
              </w:rPr>
              <w:t>0,016</w:t>
            </w:r>
          </w:p>
          <w:p w14:paraId="6BD834B5" w14:textId="2918A3E0" w:rsidR="008E35A8" w:rsidRPr="002D0203" w:rsidRDefault="008E35A8" w:rsidP="0002583C">
            <w:pPr>
              <w:jc w:val="center"/>
              <w:rPr>
                <w:rFonts w:ascii="Arial" w:hAnsi="Arial" w:cs="Arial"/>
                <w:sz w:val="20"/>
                <w:szCs w:val="20"/>
              </w:rPr>
            </w:pPr>
          </w:p>
        </w:tc>
        <w:tc>
          <w:tcPr>
            <w:tcW w:w="1355" w:type="dxa"/>
            <w:vAlign w:val="center"/>
          </w:tcPr>
          <w:p w14:paraId="2316265B" w14:textId="77777777" w:rsidR="008F7C96" w:rsidRDefault="008E35A8" w:rsidP="0002583C">
            <w:pPr>
              <w:jc w:val="center"/>
              <w:rPr>
                <w:rFonts w:ascii="Arial" w:hAnsi="Arial" w:cs="Arial"/>
                <w:sz w:val="20"/>
                <w:szCs w:val="20"/>
              </w:rPr>
            </w:pPr>
            <w:r>
              <w:rPr>
                <w:rFonts w:ascii="Arial" w:hAnsi="Arial" w:cs="Arial"/>
                <w:sz w:val="20"/>
                <w:szCs w:val="20"/>
              </w:rPr>
              <w:t>0,082</w:t>
            </w:r>
          </w:p>
          <w:p w14:paraId="03784BDB" w14:textId="49D8F404" w:rsidR="008E35A8" w:rsidRPr="002D0203" w:rsidRDefault="008E35A8" w:rsidP="0002583C">
            <w:pPr>
              <w:jc w:val="center"/>
              <w:rPr>
                <w:rFonts w:ascii="Arial" w:hAnsi="Arial" w:cs="Arial"/>
                <w:sz w:val="20"/>
                <w:szCs w:val="20"/>
              </w:rPr>
            </w:pPr>
          </w:p>
        </w:tc>
        <w:tc>
          <w:tcPr>
            <w:tcW w:w="1356" w:type="dxa"/>
            <w:vAlign w:val="center"/>
          </w:tcPr>
          <w:p w14:paraId="354C5C6B" w14:textId="77777777" w:rsidR="008F7C96" w:rsidRDefault="008E35A8" w:rsidP="0002583C">
            <w:pPr>
              <w:jc w:val="center"/>
              <w:rPr>
                <w:rFonts w:ascii="Arial" w:hAnsi="Arial" w:cs="Arial"/>
                <w:sz w:val="20"/>
                <w:szCs w:val="20"/>
              </w:rPr>
            </w:pPr>
            <w:r>
              <w:rPr>
                <w:rFonts w:ascii="Arial" w:hAnsi="Arial" w:cs="Arial"/>
                <w:sz w:val="20"/>
                <w:szCs w:val="20"/>
              </w:rPr>
              <w:t>0,048</w:t>
            </w:r>
          </w:p>
          <w:p w14:paraId="3C1E684F" w14:textId="62962668" w:rsidR="008E35A8" w:rsidRPr="002D0203" w:rsidRDefault="008E35A8" w:rsidP="0002583C">
            <w:pPr>
              <w:jc w:val="center"/>
              <w:rPr>
                <w:rFonts w:ascii="Arial" w:hAnsi="Arial" w:cs="Arial"/>
                <w:sz w:val="20"/>
                <w:szCs w:val="20"/>
              </w:rPr>
            </w:pPr>
          </w:p>
        </w:tc>
        <w:tc>
          <w:tcPr>
            <w:tcW w:w="1547" w:type="dxa"/>
            <w:vAlign w:val="center"/>
          </w:tcPr>
          <w:p w14:paraId="3FC77AEA" w14:textId="77777777" w:rsidR="008F7C96" w:rsidRDefault="008E35A8" w:rsidP="0002583C">
            <w:pPr>
              <w:jc w:val="center"/>
              <w:rPr>
                <w:rFonts w:ascii="Arial" w:hAnsi="Arial" w:cs="Arial"/>
                <w:sz w:val="20"/>
                <w:szCs w:val="20"/>
              </w:rPr>
            </w:pPr>
            <w:r>
              <w:rPr>
                <w:rFonts w:ascii="Arial" w:hAnsi="Arial" w:cs="Arial"/>
                <w:sz w:val="20"/>
                <w:szCs w:val="20"/>
              </w:rPr>
              <w:t>0,130</w:t>
            </w:r>
          </w:p>
          <w:p w14:paraId="5CF7EB42" w14:textId="14C76056" w:rsidR="008E35A8" w:rsidRPr="002D0203" w:rsidRDefault="008E35A8" w:rsidP="0002583C">
            <w:pPr>
              <w:jc w:val="center"/>
              <w:rPr>
                <w:rFonts w:ascii="Arial" w:hAnsi="Arial" w:cs="Arial"/>
                <w:sz w:val="20"/>
                <w:szCs w:val="20"/>
              </w:rPr>
            </w:pPr>
          </w:p>
        </w:tc>
      </w:tr>
      <w:tr w:rsidR="008F7C96" w14:paraId="506EA3F6" w14:textId="77777777" w:rsidTr="0002583C">
        <w:tc>
          <w:tcPr>
            <w:tcW w:w="1520" w:type="dxa"/>
            <w:vAlign w:val="center"/>
          </w:tcPr>
          <w:p w14:paraId="31EAA9D6" w14:textId="5CA1E4D5" w:rsidR="008F7C96" w:rsidRDefault="008F7C96" w:rsidP="0002583C">
            <w:pPr>
              <w:spacing w:line="360" w:lineRule="auto"/>
              <w:jc w:val="both"/>
              <w:rPr>
                <w:rFonts w:ascii="Arial" w:hAnsi="Arial" w:cs="Arial"/>
                <w:sz w:val="20"/>
                <w:szCs w:val="20"/>
              </w:rPr>
            </w:pPr>
            <w:r>
              <w:rPr>
                <w:rFonts w:ascii="Arial" w:hAnsi="Arial" w:cs="Arial"/>
                <w:sz w:val="20"/>
                <w:szCs w:val="20"/>
              </w:rPr>
              <w:t>TO – C</w:t>
            </w:r>
          </w:p>
        </w:tc>
        <w:tc>
          <w:tcPr>
            <w:tcW w:w="1355" w:type="dxa"/>
            <w:vAlign w:val="center"/>
          </w:tcPr>
          <w:p w14:paraId="1104A42C" w14:textId="77777777" w:rsidR="008F7C96" w:rsidRDefault="008F7C96" w:rsidP="0002583C">
            <w:pPr>
              <w:jc w:val="center"/>
              <w:rPr>
                <w:rFonts w:ascii="Arial" w:hAnsi="Arial" w:cs="Arial"/>
                <w:sz w:val="20"/>
                <w:szCs w:val="20"/>
              </w:rPr>
            </w:pPr>
            <w:r>
              <w:rPr>
                <w:rFonts w:ascii="Arial" w:hAnsi="Arial" w:cs="Arial"/>
                <w:sz w:val="20"/>
                <w:szCs w:val="20"/>
              </w:rPr>
              <w:t>0,217</w:t>
            </w:r>
          </w:p>
          <w:p w14:paraId="2A2C8EE4" w14:textId="692023A7" w:rsidR="008F7C96" w:rsidRDefault="008F7C96" w:rsidP="0002583C">
            <w:pPr>
              <w:jc w:val="center"/>
              <w:rPr>
                <w:rFonts w:ascii="Arial" w:hAnsi="Arial" w:cs="Arial"/>
                <w:sz w:val="20"/>
                <w:szCs w:val="20"/>
              </w:rPr>
            </w:pPr>
          </w:p>
        </w:tc>
        <w:tc>
          <w:tcPr>
            <w:tcW w:w="1355" w:type="dxa"/>
            <w:vAlign w:val="center"/>
          </w:tcPr>
          <w:p w14:paraId="28A79F5A" w14:textId="77777777" w:rsidR="008F7C96" w:rsidRDefault="008E35A8" w:rsidP="0002583C">
            <w:pPr>
              <w:jc w:val="center"/>
              <w:rPr>
                <w:rFonts w:ascii="Arial" w:hAnsi="Arial" w:cs="Arial"/>
                <w:sz w:val="20"/>
                <w:szCs w:val="20"/>
              </w:rPr>
            </w:pPr>
            <w:r>
              <w:rPr>
                <w:rFonts w:ascii="Arial" w:hAnsi="Arial" w:cs="Arial"/>
                <w:sz w:val="20"/>
                <w:szCs w:val="20"/>
              </w:rPr>
              <w:t>0,052</w:t>
            </w:r>
          </w:p>
          <w:p w14:paraId="68A76F2C" w14:textId="3E56F2A6" w:rsidR="008E35A8" w:rsidRPr="002D0203" w:rsidRDefault="008E35A8" w:rsidP="0002583C">
            <w:pPr>
              <w:jc w:val="center"/>
              <w:rPr>
                <w:rFonts w:ascii="Arial" w:hAnsi="Arial" w:cs="Arial"/>
                <w:sz w:val="20"/>
                <w:szCs w:val="20"/>
              </w:rPr>
            </w:pPr>
          </w:p>
        </w:tc>
        <w:tc>
          <w:tcPr>
            <w:tcW w:w="1355" w:type="dxa"/>
            <w:vAlign w:val="center"/>
          </w:tcPr>
          <w:p w14:paraId="18438C83" w14:textId="77777777" w:rsidR="008F7C96" w:rsidRDefault="008E35A8" w:rsidP="0002583C">
            <w:pPr>
              <w:jc w:val="center"/>
              <w:rPr>
                <w:rFonts w:ascii="Arial" w:hAnsi="Arial" w:cs="Arial"/>
                <w:sz w:val="20"/>
                <w:szCs w:val="20"/>
              </w:rPr>
            </w:pPr>
            <w:r>
              <w:rPr>
                <w:rFonts w:ascii="Arial" w:hAnsi="Arial" w:cs="Arial"/>
                <w:sz w:val="20"/>
                <w:szCs w:val="20"/>
              </w:rPr>
              <w:t>- 0,062</w:t>
            </w:r>
          </w:p>
          <w:p w14:paraId="6FF54718" w14:textId="5CAA9C85" w:rsidR="008E35A8" w:rsidRPr="002D0203" w:rsidRDefault="008E35A8" w:rsidP="0002583C">
            <w:pPr>
              <w:jc w:val="center"/>
              <w:rPr>
                <w:rFonts w:ascii="Arial" w:hAnsi="Arial" w:cs="Arial"/>
                <w:sz w:val="20"/>
                <w:szCs w:val="20"/>
              </w:rPr>
            </w:pPr>
          </w:p>
        </w:tc>
        <w:tc>
          <w:tcPr>
            <w:tcW w:w="1356" w:type="dxa"/>
            <w:vAlign w:val="center"/>
          </w:tcPr>
          <w:p w14:paraId="656CBFA0" w14:textId="77777777" w:rsidR="008F7C96" w:rsidRDefault="008E35A8" w:rsidP="0002583C">
            <w:pPr>
              <w:jc w:val="center"/>
              <w:rPr>
                <w:rFonts w:ascii="Arial" w:hAnsi="Arial" w:cs="Arial"/>
                <w:sz w:val="20"/>
                <w:szCs w:val="20"/>
              </w:rPr>
            </w:pPr>
            <w:r>
              <w:rPr>
                <w:rFonts w:ascii="Arial" w:hAnsi="Arial" w:cs="Arial"/>
                <w:sz w:val="20"/>
                <w:szCs w:val="20"/>
              </w:rPr>
              <w:t>0,163</w:t>
            </w:r>
          </w:p>
          <w:p w14:paraId="5B1DB99F" w14:textId="24477C00" w:rsidR="008E35A8" w:rsidRPr="002D0203" w:rsidRDefault="008E35A8" w:rsidP="0002583C">
            <w:pPr>
              <w:jc w:val="center"/>
              <w:rPr>
                <w:rFonts w:ascii="Arial" w:hAnsi="Arial" w:cs="Arial"/>
                <w:sz w:val="20"/>
                <w:szCs w:val="20"/>
              </w:rPr>
            </w:pPr>
          </w:p>
        </w:tc>
        <w:tc>
          <w:tcPr>
            <w:tcW w:w="1547" w:type="dxa"/>
            <w:vAlign w:val="center"/>
          </w:tcPr>
          <w:p w14:paraId="625D8631" w14:textId="77777777" w:rsidR="008F7C96" w:rsidRDefault="008E35A8" w:rsidP="0002583C">
            <w:pPr>
              <w:jc w:val="center"/>
              <w:rPr>
                <w:rFonts w:ascii="Arial" w:hAnsi="Arial" w:cs="Arial"/>
                <w:sz w:val="20"/>
                <w:szCs w:val="20"/>
              </w:rPr>
            </w:pPr>
            <w:r>
              <w:rPr>
                <w:rFonts w:ascii="Arial" w:hAnsi="Arial" w:cs="Arial"/>
                <w:sz w:val="20"/>
                <w:szCs w:val="20"/>
              </w:rPr>
              <w:t>0,057</w:t>
            </w:r>
          </w:p>
          <w:p w14:paraId="6C749B17" w14:textId="30E528DD" w:rsidR="008E35A8" w:rsidRPr="002D0203" w:rsidRDefault="008E35A8" w:rsidP="0002583C">
            <w:pPr>
              <w:jc w:val="center"/>
              <w:rPr>
                <w:rFonts w:ascii="Arial" w:hAnsi="Arial" w:cs="Arial"/>
                <w:sz w:val="20"/>
                <w:szCs w:val="20"/>
              </w:rPr>
            </w:pPr>
          </w:p>
        </w:tc>
      </w:tr>
      <w:tr w:rsidR="008F7C96" w14:paraId="332D1099" w14:textId="77777777" w:rsidTr="0002583C">
        <w:tc>
          <w:tcPr>
            <w:tcW w:w="1520" w:type="dxa"/>
            <w:vAlign w:val="center"/>
          </w:tcPr>
          <w:p w14:paraId="3F94EFB5" w14:textId="66289219" w:rsidR="008F7C96" w:rsidRDefault="008F7C96" w:rsidP="0002583C">
            <w:pPr>
              <w:spacing w:line="360" w:lineRule="auto"/>
              <w:jc w:val="both"/>
              <w:rPr>
                <w:rFonts w:ascii="Arial" w:hAnsi="Arial" w:cs="Arial"/>
                <w:sz w:val="20"/>
                <w:szCs w:val="20"/>
              </w:rPr>
            </w:pPr>
            <w:r>
              <w:rPr>
                <w:rFonts w:ascii="Arial" w:hAnsi="Arial" w:cs="Arial"/>
                <w:sz w:val="20"/>
                <w:szCs w:val="20"/>
              </w:rPr>
              <w:t>PA – C</w:t>
            </w:r>
          </w:p>
        </w:tc>
        <w:tc>
          <w:tcPr>
            <w:tcW w:w="1355" w:type="dxa"/>
            <w:vAlign w:val="center"/>
          </w:tcPr>
          <w:p w14:paraId="5AF8E004" w14:textId="77777777" w:rsidR="008F7C96" w:rsidRDefault="008F7C96" w:rsidP="0002583C">
            <w:pPr>
              <w:jc w:val="center"/>
              <w:rPr>
                <w:rFonts w:ascii="Arial" w:hAnsi="Arial" w:cs="Arial"/>
                <w:sz w:val="20"/>
                <w:szCs w:val="20"/>
              </w:rPr>
            </w:pPr>
            <w:r>
              <w:rPr>
                <w:rFonts w:ascii="Arial" w:hAnsi="Arial" w:cs="Arial"/>
                <w:sz w:val="20"/>
                <w:szCs w:val="20"/>
              </w:rPr>
              <w:t>0,128</w:t>
            </w:r>
          </w:p>
          <w:p w14:paraId="15ABFB4E" w14:textId="147B5858" w:rsidR="008F7C96" w:rsidRDefault="008F7C96" w:rsidP="0002583C">
            <w:pPr>
              <w:jc w:val="center"/>
              <w:rPr>
                <w:rFonts w:ascii="Arial" w:hAnsi="Arial" w:cs="Arial"/>
                <w:sz w:val="20"/>
                <w:szCs w:val="20"/>
              </w:rPr>
            </w:pPr>
          </w:p>
        </w:tc>
        <w:tc>
          <w:tcPr>
            <w:tcW w:w="1355" w:type="dxa"/>
            <w:vAlign w:val="center"/>
          </w:tcPr>
          <w:p w14:paraId="26ECD470" w14:textId="77777777" w:rsidR="008F7C96" w:rsidRDefault="008E35A8" w:rsidP="0002583C">
            <w:pPr>
              <w:jc w:val="center"/>
              <w:rPr>
                <w:rFonts w:ascii="Arial" w:hAnsi="Arial" w:cs="Arial"/>
                <w:sz w:val="20"/>
                <w:szCs w:val="20"/>
              </w:rPr>
            </w:pPr>
            <w:r>
              <w:rPr>
                <w:rFonts w:ascii="Arial" w:hAnsi="Arial" w:cs="Arial"/>
                <w:sz w:val="20"/>
                <w:szCs w:val="20"/>
              </w:rPr>
              <w:t>0,070</w:t>
            </w:r>
          </w:p>
          <w:p w14:paraId="5272EE59" w14:textId="579915F9" w:rsidR="008E35A8" w:rsidRPr="002D0203" w:rsidRDefault="008E35A8" w:rsidP="0002583C">
            <w:pPr>
              <w:jc w:val="center"/>
              <w:rPr>
                <w:rFonts w:ascii="Arial" w:hAnsi="Arial" w:cs="Arial"/>
                <w:sz w:val="20"/>
                <w:szCs w:val="20"/>
              </w:rPr>
            </w:pPr>
          </w:p>
        </w:tc>
        <w:tc>
          <w:tcPr>
            <w:tcW w:w="1355" w:type="dxa"/>
            <w:vAlign w:val="center"/>
          </w:tcPr>
          <w:p w14:paraId="7C79436E" w14:textId="77777777" w:rsidR="008F7C96" w:rsidRDefault="008E35A8" w:rsidP="0002583C">
            <w:pPr>
              <w:jc w:val="center"/>
              <w:rPr>
                <w:rFonts w:ascii="Arial" w:hAnsi="Arial" w:cs="Arial"/>
                <w:sz w:val="20"/>
                <w:szCs w:val="20"/>
              </w:rPr>
            </w:pPr>
            <w:r>
              <w:rPr>
                <w:rFonts w:ascii="Arial" w:hAnsi="Arial" w:cs="Arial"/>
                <w:sz w:val="20"/>
                <w:szCs w:val="20"/>
              </w:rPr>
              <w:t>0,037</w:t>
            </w:r>
          </w:p>
          <w:p w14:paraId="7E117583" w14:textId="598272C1" w:rsidR="008E35A8" w:rsidRPr="002D0203" w:rsidRDefault="008E35A8" w:rsidP="0002583C">
            <w:pPr>
              <w:jc w:val="center"/>
              <w:rPr>
                <w:rFonts w:ascii="Arial" w:hAnsi="Arial" w:cs="Arial"/>
                <w:sz w:val="20"/>
                <w:szCs w:val="20"/>
              </w:rPr>
            </w:pPr>
          </w:p>
        </w:tc>
        <w:tc>
          <w:tcPr>
            <w:tcW w:w="1356" w:type="dxa"/>
            <w:vAlign w:val="center"/>
          </w:tcPr>
          <w:p w14:paraId="1811E243" w14:textId="77777777" w:rsidR="008F7C96" w:rsidRDefault="008E35A8" w:rsidP="0002583C">
            <w:pPr>
              <w:jc w:val="center"/>
              <w:rPr>
                <w:rFonts w:ascii="Arial" w:hAnsi="Arial" w:cs="Arial"/>
                <w:sz w:val="20"/>
                <w:szCs w:val="20"/>
              </w:rPr>
            </w:pPr>
            <w:r>
              <w:rPr>
                <w:rFonts w:ascii="Arial" w:hAnsi="Arial" w:cs="Arial"/>
                <w:sz w:val="20"/>
                <w:szCs w:val="20"/>
              </w:rPr>
              <w:t>0,104</w:t>
            </w:r>
          </w:p>
          <w:p w14:paraId="74D13C38" w14:textId="17905B79" w:rsidR="008E35A8" w:rsidRPr="002D0203" w:rsidRDefault="008E35A8" w:rsidP="0002583C">
            <w:pPr>
              <w:jc w:val="center"/>
              <w:rPr>
                <w:rFonts w:ascii="Arial" w:hAnsi="Arial" w:cs="Arial"/>
                <w:sz w:val="20"/>
                <w:szCs w:val="20"/>
              </w:rPr>
            </w:pPr>
          </w:p>
        </w:tc>
        <w:tc>
          <w:tcPr>
            <w:tcW w:w="1547" w:type="dxa"/>
            <w:vAlign w:val="center"/>
          </w:tcPr>
          <w:p w14:paraId="361B46CE" w14:textId="77777777" w:rsidR="008F7C96" w:rsidRDefault="008E35A8" w:rsidP="0002583C">
            <w:pPr>
              <w:jc w:val="center"/>
              <w:rPr>
                <w:rFonts w:ascii="Arial" w:hAnsi="Arial" w:cs="Arial"/>
                <w:sz w:val="20"/>
                <w:szCs w:val="20"/>
              </w:rPr>
            </w:pPr>
            <w:r>
              <w:rPr>
                <w:rFonts w:ascii="Arial" w:hAnsi="Arial" w:cs="Arial"/>
                <w:sz w:val="20"/>
                <w:szCs w:val="20"/>
              </w:rPr>
              <w:t>0,090</w:t>
            </w:r>
          </w:p>
          <w:p w14:paraId="127BD1D2" w14:textId="413F57E2" w:rsidR="008E35A8" w:rsidRPr="002D0203" w:rsidRDefault="008E35A8" w:rsidP="0002583C">
            <w:pPr>
              <w:jc w:val="center"/>
              <w:rPr>
                <w:rFonts w:ascii="Arial" w:hAnsi="Arial" w:cs="Arial"/>
                <w:sz w:val="20"/>
                <w:szCs w:val="20"/>
              </w:rPr>
            </w:pPr>
          </w:p>
        </w:tc>
      </w:tr>
      <w:tr w:rsidR="008F7C96" w14:paraId="7FA1FC03" w14:textId="77777777" w:rsidTr="0002583C">
        <w:tc>
          <w:tcPr>
            <w:tcW w:w="1520" w:type="dxa"/>
            <w:vAlign w:val="center"/>
          </w:tcPr>
          <w:p w14:paraId="55463697" w14:textId="77777777" w:rsidR="008F7C96" w:rsidRDefault="008F7C96" w:rsidP="0002583C">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p>
        </w:tc>
        <w:tc>
          <w:tcPr>
            <w:tcW w:w="1355" w:type="dxa"/>
            <w:vAlign w:val="center"/>
          </w:tcPr>
          <w:p w14:paraId="79D16FEF" w14:textId="77777777" w:rsidR="008F7C96" w:rsidRDefault="008F7C96" w:rsidP="0002583C">
            <w:pPr>
              <w:jc w:val="center"/>
              <w:rPr>
                <w:rFonts w:ascii="Arial" w:hAnsi="Arial" w:cs="Arial"/>
                <w:sz w:val="20"/>
                <w:szCs w:val="20"/>
              </w:rPr>
            </w:pPr>
            <w:r>
              <w:rPr>
                <w:rFonts w:ascii="Arial" w:hAnsi="Arial" w:cs="Arial"/>
                <w:sz w:val="20"/>
                <w:szCs w:val="20"/>
              </w:rPr>
              <w:t>0,111</w:t>
            </w:r>
          </w:p>
          <w:p w14:paraId="5113A017" w14:textId="6E98DFDF" w:rsidR="008F7C96" w:rsidRDefault="008F7C96" w:rsidP="0002583C">
            <w:pPr>
              <w:jc w:val="center"/>
              <w:rPr>
                <w:rFonts w:ascii="Arial" w:hAnsi="Arial" w:cs="Arial"/>
                <w:sz w:val="20"/>
                <w:szCs w:val="20"/>
              </w:rPr>
            </w:pPr>
          </w:p>
        </w:tc>
        <w:tc>
          <w:tcPr>
            <w:tcW w:w="1355" w:type="dxa"/>
            <w:vAlign w:val="center"/>
          </w:tcPr>
          <w:p w14:paraId="3C2A57AA" w14:textId="77777777" w:rsidR="008F7C96" w:rsidRDefault="008E35A8" w:rsidP="0002583C">
            <w:pPr>
              <w:jc w:val="center"/>
              <w:rPr>
                <w:rFonts w:ascii="Arial" w:hAnsi="Arial" w:cs="Arial"/>
                <w:sz w:val="20"/>
                <w:szCs w:val="20"/>
              </w:rPr>
            </w:pPr>
            <w:r>
              <w:rPr>
                <w:rFonts w:ascii="Arial" w:hAnsi="Arial" w:cs="Arial"/>
                <w:sz w:val="20"/>
                <w:szCs w:val="20"/>
              </w:rPr>
              <w:t>0,093</w:t>
            </w:r>
          </w:p>
          <w:p w14:paraId="63C1B56A" w14:textId="110D094C" w:rsidR="008E35A8" w:rsidRPr="002D0203" w:rsidRDefault="008E35A8" w:rsidP="0002583C">
            <w:pPr>
              <w:jc w:val="center"/>
              <w:rPr>
                <w:rFonts w:ascii="Arial" w:hAnsi="Arial" w:cs="Arial"/>
                <w:sz w:val="20"/>
                <w:szCs w:val="20"/>
              </w:rPr>
            </w:pPr>
          </w:p>
        </w:tc>
        <w:tc>
          <w:tcPr>
            <w:tcW w:w="1355" w:type="dxa"/>
            <w:vAlign w:val="center"/>
          </w:tcPr>
          <w:p w14:paraId="50658E3E" w14:textId="77777777" w:rsidR="008F7C96" w:rsidRDefault="008E35A8" w:rsidP="0002583C">
            <w:pPr>
              <w:jc w:val="center"/>
              <w:rPr>
                <w:rFonts w:ascii="Arial" w:hAnsi="Arial" w:cs="Arial"/>
                <w:sz w:val="20"/>
                <w:szCs w:val="20"/>
              </w:rPr>
            </w:pPr>
            <w:r>
              <w:rPr>
                <w:rFonts w:ascii="Arial" w:hAnsi="Arial" w:cs="Arial"/>
                <w:sz w:val="20"/>
                <w:szCs w:val="20"/>
              </w:rPr>
              <w:t>0,111</w:t>
            </w:r>
          </w:p>
          <w:p w14:paraId="1CD3A6D9" w14:textId="32B7CDF9" w:rsidR="008E35A8" w:rsidRPr="002D0203" w:rsidRDefault="008E35A8" w:rsidP="0002583C">
            <w:pPr>
              <w:jc w:val="center"/>
              <w:rPr>
                <w:rFonts w:ascii="Arial" w:hAnsi="Arial" w:cs="Arial"/>
                <w:sz w:val="20"/>
                <w:szCs w:val="20"/>
              </w:rPr>
            </w:pPr>
          </w:p>
        </w:tc>
        <w:tc>
          <w:tcPr>
            <w:tcW w:w="1356" w:type="dxa"/>
            <w:vAlign w:val="center"/>
          </w:tcPr>
          <w:p w14:paraId="3F9C4F8B" w14:textId="77777777" w:rsidR="008F7C96" w:rsidRDefault="008E35A8" w:rsidP="0002583C">
            <w:pPr>
              <w:jc w:val="center"/>
              <w:rPr>
                <w:rFonts w:ascii="Arial" w:hAnsi="Arial" w:cs="Arial"/>
                <w:sz w:val="20"/>
                <w:szCs w:val="20"/>
              </w:rPr>
            </w:pPr>
            <w:r>
              <w:rPr>
                <w:rFonts w:ascii="Arial" w:hAnsi="Arial" w:cs="Arial"/>
                <w:sz w:val="20"/>
                <w:szCs w:val="20"/>
              </w:rPr>
              <w:t>0,100</w:t>
            </w:r>
          </w:p>
          <w:p w14:paraId="6E635870" w14:textId="7AE50922" w:rsidR="008E35A8" w:rsidRPr="002D0203" w:rsidRDefault="008E35A8" w:rsidP="0002583C">
            <w:pPr>
              <w:jc w:val="center"/>
              <w:rPr>
                <w:rFonts w:ascii="Arial" w:hAnsi="Arial" w:cs="Arial"/>
                <w:sz w:val="20"/>
                <w:szCs w:val="20"/>
              </w:rPr>
            </w:pPr>
          </w:p>
        </w:tc>
        <w:tc>
          <w:tcPr>
            <w:tcW w:w="1547" w:type="dxa"/>
            <w:vAlign w:val="center"/>
          </w:tcPr>
          <w:p w14:paraId="4A5AECA2" w14:textId="77777777" w:rsidR="008F7C96" w:rsidRDefault="008E35A8" w:rsidP="0002583C">
            <w:pPr>
              <w:jc w:val="center"/>
              <w:rPr>
                <w:rFonts w:ascii="Arial" w:hAnsi="Arial" w:cs="Arial"/>
                <w:sz w:val="20"/>
                <w:szCs w:val="20"/>
              </w:rPr>
            </w:pPr>
            <w:r>
              <w:rPr>
                <w:rFonts w:ascii="Arial" w:hAnsi="Arial" w:cs="Arial"/>
                <w:sz w:val="20"/>
                <w:szCs w:val="20"/>
              </w:rPr>
              <w:t>0,138</w:t>
            </w:r>
          </w:p>
          <w:p w14:paraId="0AFF4FB8" w14:textId="67F558C2" w:rsidR="008E35A8" w:rsidRPr="002D0203" w:rsidRDefault="008E35A8" w:rsidP="0002583C">
            <w:pPr>
              <w:jc w:val="center"/>
              <w:rPr>
                <w:rFonts w:ascii="Arial" w:hAnsi="Arial" w:cs="Arial"/>
                <w:sz w:val="20"/>
                <w:szCs w:val="20"/>
              </w:rPr>
            </w:pPr>
          </w:p>
        </w:tc>
      </w:tr>
      <w:tr w:rsidR="008F7C96" w14:paraId="382AC641" w14:textId="77777777" w:rsidTr="0002583C">
        <w:tc>
          <w:tcPr>
            <w:tcW w:w="1520" w:type="dxa"/>
            <w:vAlign w:val="center"/>
          </w:tcPr>
          <w:p w14:paraId="044E0BCF" w14:textId="77777777" w:rsidR="008F7C96" w:rsidRPr="002D0203" w:rsidRDefault="008F7C96" w:rsidP="0002583C">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r>
              <w:rPr>
                <w:rFonts w:ascii="Arial" w:hAnsi="Arial" w:cs="Arial"/>
                <w:sz w:val="20"/>
                <w:szCs w:val="20"/>
              </w:rPr>
              <w:t xml:space="preserve"> ajustado</w:t>
            </w:r>
          </w:p>
        </w:tc>
        <w:tc>
          <w:tcPr>
            <w:tcW w:w="1355" w:type="dxa"/>
            <w:vAlign w:val="center"/>
          </w:tcPr>
          <w:p w14:paraId="4127BC78" w14:textId="673D349A" w:rsidR="008F7C96" w:rsidRDefault="008F7C96" w:rsidP="0002583C">
            <w:pPr>
              <w:jc w:val="center"/>
              <w:rPr>
                <w:rFonts w:ascii="Arial" w:hAnsi="Arial" w:cs="Arial"/>
                <w:sz w:val="20"/>
                <w:szCs w:val="20"/>
              </w:rPr>
            </w:pPr>
            <w:r>
              <w:rPr>
                <w:rFonts w:ascii="Arial" w:hAnsi="Arial" w:cs="Arial"/>
                <w:sz w:val="20"/>
                <w:szCs w:val="20"/>
              </w:rPr>
              <w:t>0,035</w:t>
            </w:r>
          </w:p>
        </w:tc>
        <w:tc>
          <w:tcPr>
            <w:tcW w:w="1355" w:type="dxa"/>
            <w:vAlign w:val="center"/>
          </w:tcPr>
          <w:p w14:paraId="2C76313F" w14:textId="2995F1E5" w:rsidR="008F7C96" w:rsidRPr="002D0203" w:rsidRDefault="008E35A8" w:rsidP="0002583C">
            <w:pPr>
              <w:jc w:val="center"/>
              <w:rPr>
                <w:rFonts w:ascii="Arial" w:hAnsi="Arial" w:cs="Arial"/>
                <w:sz w:val="20"/>
                <w:szCs w:val="20"/>
              </w:rPr>
            </w:pPr>
            <w:r>
              <w:rPr>
                <w:rFonts w:ascii="Arial" w:hAnsi="Arial" w:cs="Arial"/>
                <w:sz w:val="20"/>
                <w:szCs w:val="20"/>
              </w:rPr>
              <w:t>0,015</w:t>
            </w:r>
          </w:p>
        </w:tc>
        <w:tc>
          <w:tcPr>
            <w:tcW w:w="1355" w:type="dxa"/>
            <w:vAlign w:val="center"/>
          </w:tcPr>
          <w:p w14:paraId="4D4BF5B5" w14:textId="40C881A8" w:rsidR="008F7C96" w:rsidRPr="002D0203" w:rsidRDefault="008E35A8" w:rsidP="0002583C">
            <w:pPr>
              <w:jc w:val="center"/>
              <w:rPr>
                <w:rFonts w:ascii="Arial" w:hAnsi="Arial" w:cs="Arial"/>
                <w:sz w:val="20"/>
                <w:szCs w:val="20"/>
              </w:rPr>
            </w:pPr>
            <w:r>
              <w:rPr>
                <w:rFonts w:ascii="Arial" w:hAnsi="Arial" w:cs="Arial"/>
                <w:sz w:val="20"/>
                <w:szCs w:val="20"/>
              </w:rPr>
              <w:t>0,035</w:t>
            </w:r>
          </w:p>
        </w:tc>
        <w:tc>
          <w:tcPr>
            <w:tcW w:w="1356" w:type="dxa"/>
            <w:vAlign w:val="center"/>
          </w:tcPr>
          <w:p w14:paraId="761E06F4" w14:textId="57A3F9F6" w:rsidR="008F7C96" w:rsidRPr="002D0203" w:rsidRDefault="008E35A8" w:rsidP="0002583C">
            <w:pPr>
              <w:jc w:val="center"/>
              <w:rPr>
                <w:rFonts w:ascii="Arial" w:hAnsi="Arial" w:cs="Arial"/>
                <w:sz w:val="20"/>
                <w:szCs w:val="20"/>
              </w:rPr>
            </w:pPr>
            <w:r>
              <w:rPr>
                <w:rFonts w:ascii="Arial" w:hAnsi="Arial" w:cs="Arial"/>
                <w:sz w:val="20"/>
                <w:szCs w:val="20"/>
              </w:rPr>
              <w:t>0,022</w:t>
            </w:r>
          </w:p>
        </w:tc>
        <w:tc>
          <w:tcPr>
            <w:tcW w:w="1547" w:type="dxa"/>
            <w:vAlign w:val="center"/>
          </w:tcPr>
          <w:p w14:paraId="78FDB58C" w14:textId="1791D29C" w:rsidR="008F7C96" w:rsidRPr="002D0203" w:rsidRDefault="008E35A8" w:rsidP="0002583C">
            <w:pPr>
              <w:jc w:val="center"/>
              <w:rPr>
                <w:rFonts w:ascii="Arial" w:hAnsi="Arial" w:cs="Arial"/>
                <w:sz w:val="20"/>
                <w:szCs w:val="20"/>
              </w:rPr>
            </w:pPr>
            <w:r>
              <w:rPr>
                <w:rFonts w:ascii="Arial" w:hAnsi="Arial" w:cs="Arial"/>
                <w:sz w:val="20"/>
                <w:szCs w:val="20"/>
              </w:rPr>
              <w:t>0,049</w:t>
            </w:r>
          </w:p>
        </w:tc>
      </w:tr>
    </w:tbl>
    <w:p w14:paraId="0C65F61A" w14:textId="727E4229" w:rsidR="003343E0" w:rsidRPr="00D64A9C" w:rsidRDefault="003343E0" w:rsidP="003343E0">
      <w:pPr>
        <w:jc w:val="both"/>
        <w:rPr>
          <w:rFonts w:ascii="Arial" w:hAnsi="Arial" w:cs="Arial"/>
          <w:sz w:val="20"/>
          <w:szCs w:val="20"/>
        </w:rPr>
      </w:pPr>
      <w:r w:rsidRPr="00D64A9C">
        <w:rPr>
          <w:rFonts w:ascii="Arial" w:hAnsi="Arial" w:cs="Arial"/>
          <w:b/>
          <w:sz w:val="20"/>
          <w:szCs w:val="20"/>
        </w:rPr>
        <w:t>Fonte:</w:t>
      </w:r>
      <w:r w:rsidRPr="00D64A9C">
        <w:rPr>
          <w:rFonts w:ascii="Arial" w:hAnsi="Arial" w:cs="Arial"/>
          <w:sz w:val="20"/>
          <w:szCs w:val="20"/>
        </w:rPr>
        <w:t xml:space="preserve"> elaboração própria. Dados amostrais anuais (ajustados): 1995 2014. Número de observações: 20 depois dos ajustes. Número de cortes transversais: 7. Total de observações (balanceadas): 140</w:t>
      </w:r>
    </w:p>
    <w:p w14:paraId="3AC0DEB5" w14:textId="1B6C1412" w:rsidR="009A5F99" w:rsidRPr="00D64A9C" w:rsidRDefault="003343E0" w:rsidP="003343E0">
      <w:pPr>
        <w:jc w:val="both"/>
        <w:rPr>
          <w:rFonts w:ascii="Arial" w:hAnsi="Arial" w:cs="Arial"/>
          <w:sz w:val="20"/>
          <w:szCs w:val="20"/>
        </w:rPr>
      </w:pPr>
      <w:r w:rsidRPr="00D64A9C">
        <w:rPr>
          <w:rFonts w:ascii="Arial" w:hAnsi="Arial" w:cs="Arial"/>
          <w:sz w:val="20"/>
          <w:szCs w:val="20"/>
        </w:rPr>
        <w:t xml:space="preserve"> </w:t>
      </w:r>
      <w:r w:rsidRPr="00D64A9C">
        <w:rPr>
          <w:rFonts w:ascii="Arial" w:hAnsi="Arial" w:cs="Arial"/>
          <w:b/>
          <w:sz w:val="20"/>
          <w:szCs w:val="20"/>
        </w:rPr>
        <w:t>Nota:</w:t>
      </w:r>
      <w:r w:rsidRPr="00D64A9C">
        <w:rPr>
          <w:rFonts w:ascii="Arial" w:hAnsi="Arial" w:cs="Arial"/>
          <w:sz w:val="20"/>
          <w:szCs w:val="20"/>
        </w:rPr>
        <w:t xml:space="preserve"> (a), (b) e (c) indicam que os coeficientes estimados são estatisticamente significantes ou rejeição da hipótese nula ao nível de significância de 1%, 5% e 10%, respectivamente. Os valores em parênteses são as estatísticas </w:t>
      </w:r>
      <w:r w:rsidRPr="00D64A9C">
        <w:rPr>
          <w:rFonts w:ascii="Arial" w:hAnsi="Arial" w:cs="Arial"/>
          <w:i/>
          <w:sz w:val="20"/>
          <w:szCs w:val="20"/>
        </w:rPr>
        <w:t xml:space="preserve">t </w:t>
      </w:r>
      <w:r w:rsidRPr="00D64A9C">
        <w:rPr>
          <w:rFonts w:ascii="Arial" w:hAnsi="Arial" w:cs="Arial"/>
          <w:sz w:val="20"/>
          <w:szCs w:val="20"/>
        </w:rPr>
        <w:t>de Student.</w:t>
      </w:r>
    </w:p>
    <w:p w14:paraId="1E174FBF" w14:textId="142C951B" w:rsidR="00997E2F" w:rsidRPr="00986E56" w:rsidRDefault="00997E2F" w:rsidP="00986E56">
      <w:pPr>
        <w:spacing w:line="360" w:lineRule="auto"/>
        <w:jc w:val="both"/>
        <w:rPr>
          <w:rFonts w:ascii="Arial" w:hAnsi="Arial" w:cs="Arial"/>
        </w:rPr>
      </w:pPr>
    </w:p>
    <w:p w14:paraId="0D60EE00" w14:textId="678A6424" w:rsidR="009A5F99" w:rsidRDefault="004503D5">
      <w:pPr>
        <w:spacing w:line="360" w:lineRule="auto"/>
        <w:jc w:val="both"/>
        <w:rPr>
          <w:rFonts w:ascii="Arial" w:hAnsi="Arial" w:cs="Arial"/>
        </w:rPr>
      </w:pPr>
      <w:r>
        <w:rPr>
          <w:rFonts w:ascii="Arial" w:hAnsi="Arial" w:cs="Arial"/>
        </w:rPr>
        <w:lastRenderedPageBreak/>
        <w:tab/>
        <w:t xml:space="preserve">Para a Região Norte apenas o Modelo Geral resultou em indicadores de descentralização com nível de significância estatística. O Indicador 1 teve coeficiente positivo, conforme esperado e foi considerado significativo ao nível de 5%. Indicação de que a descentralização de receita contribuiu para o crescimento econômico na região durante o período analisado. O Indicador 3, entretanto, resultou em um coeficiente negativo e significativo ao nível de 10%. Este resultado contraria a hipótese teórica analisada e a expectativa inicial em relação ao sinal dos indicadores, no caso em questão, além de não contribuir com o crescimento econômico, o resultado indica que o aumento do nível de autonomia de arrecadação dos Estados da Região Norte causa um decréscimo no PIB real </w:t>
      </w:r>
      <w:r>
        <w:rPr>
          <w:rFonts w:ascii="Arial" w:hAnsi="Arial" w:cs="Arial"/>
          <w:i/>
        </w:rPr>
        <w:t>per capita</w:t>
      </w:r>
      <w:r>
        <w:rPr>
          <w:rFonts w:ascii="Arial" w:hAnsi="Arial" w:cs="Arial"/>
        </w:rPr>
        <w:t>.</w:t>
      </w:r>
    </w:p>
    <w:p w14:paraId="4330A3ED" w14:textId="517A9A46" w:rsidR="004503D5" w:rsidRDefault="004503D5">
      <w:pPr>
        <w:spacing w:line="360" w:lineRule="auto"/>
        <w:jc w:val="both"/>
        <w:rPr>
          <w:rFonts w:ascii="Arial" w:hAnsi="Arial" w:cs="Arial"/>
        </w:rPr>
      </w:pPr>
      <w:r>
        <w:rPr>
          <w:rFonts w:ascii="Arial" w:hAnsi="Arial" w:cs="Arial"/>
        </w:rPr>
        <w:tab/>
        <w:t>Assim como nas outras regiões já analisadas, a Taxa de Mortalidade Infantil teve coeficiente positivo nos modelos 1, 2 e 3 e foram significativos aos níveis de 1 e 5%. Novamente, indicativo de que não é uma boa foram de avaliar os níveis de saúde para o modelo proposto.</w:t>
      </w:r>
    </w:p>
    <w:p w14:paraId="677D4658" w14:textId="7E88459D" w:rsidR="004503D5" w:rsidRDefault="004503D5">
      <w:pPr>
        <w:spacing w:line="360" w:lineRule="auto"/>
        <w:jc w:val="both"/>
        <w:rPr>
          <w:rFonts w:ascii="Arial" w:hAnsi="Arial" w:cs="Arial"/>
        </w:rPr>
      </w:pPr>
      <w:r>
        <w:rPr>
          <w:rFonts w:ascii="Arial" w:hAnsi="Arial" w:cs="Arial"/>
        </w:rPr>
        <w:tab/>
        <w:t>Os outros indicadores utilizados na análise não foram considerados estatisticamente significativos na análise da Região Norte.</w:t>
      </w:r>
    </w:p>
    <w:p w14:paraId="4CE384E8" w14:textId="77777777" w:rsidR="004503D5" w:rsidRDefault="004503D5">
      <w:pPr>
        <w:rPr>
          <w:rFonts w:ascii="Arial" w:hAnsi="Arial" w:cs="Arial"/>
        </w:rPr>
      </w:pPr>
      <w:r>
        <w:rPr>
          <w:rFonts w:ascii="Arial" w:hAnsi="Arial" w:cs="Arial"/>
        </w:rPr>
        <w:br w:type="page"/>
      </w:r>
    </w:p>
    <w:p w14:paraId="3ADD5711" w14:textId="1E10DB60" w:rsidR="00CE5F6A" w:rsidRPr="00194250" w:rsidRDefault="004E0034" w:rsidP="00CE5F6A">
      <w:pPr>
        <w:jc w:val="both"/>
        <w:rPr>
          <w:rFonts w:ascii="Arial" w:hAnsi="Arial" w:cs="Arial"/>
          <w:sz w:val="20"/>
          <w:szCs w:val="20"/>
        </w:rPr>
      </w:pPr>
      <w:r>
        <w:rPr>
          <w:rFonts w:ascii="Arial" w:hAnsi="Arial" w:cs="Arial"/>
          <w:b/>
        </w:rPr>
        <w:lastRenderedPageBreak/>
        <w:t>Tabela 7</w:t>
      </w:r>
      <w:r w:rsidR="00CE5F6A" w:rsidRPr="003343E0">
        <w:rPr>
          <w:rFonts w:ascii="Arial" w:hAnsi="Arial" w:cs="Arial"/>
          <w:b/>
        </w:rPr>
        <w:t xml:space="preserve"> – </w:t>
      </w:r>
      <w:r w:rsidR="00CE5F6A" w:rsidRPr="003343E0">
        <w:rPr>
          <w:rFonts w:ascii="Arial" w:hAnsi="Arial" w:cs="Arial"/>
        </w:rPr>
        <w:t>Resultados econométricos. Modelo d</w:t>
      </w:r>
      <w:r w:rsidR="003343E0" w:rsidRPr="003343E0">
        <w:rPr>
          <w:rFonts w:ascii="Arial" w:hAnsi="Arial" w:cs="Arial"/>
        </w:rPr>
        <w:t>e Efeitos Fixos. Região Sud</w:t>
      </w:r>
      <w:r w:rsidR="00CE5F6A" w:rsidRPr="003343E0">
        <w:rPr>
          <w:rFonts w:ascii="Arial" w:hAnsi="Arial" w:cs="Arial"/>
        </w:rPr>
        <w:t xml:space="preserve">este. Variável dependente: taxa de variação real do PIB </w:t>
      </w:r>
      <w:r w:rsidR="00CE5F6A" w:rsidRPr="003343E0">
        <w:rPr>
          <w:rFonts w:ascii="Arial" w:hAnsi="Arial" w:cs="Arial"/>
          <w:i/>
        </w:rPr>
        <w:t>per capita</w:t>
      </w:r>
      <w:r w:rsidR="00CE5F6A" w:rsidRPr="003343E0">
        <w:rPr>
          <w:rFonts w:ascii="Arial" w:hAnsi="Arial" w:cs="Arial"/>
        </w:rPr>
        <w:t>.</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355"/>
        <w:gridCol w:w="1355"/>
        <w:gridCol w:w="1355"/>
        <w:gridCol w:w="1356"/>
        <w:gridCol w:w="1547"/>
      </w:tblGrid>
      <w:tr w:rsidR="00491598" w14:paraId="36B06716" w14:textId="77777777" w:rsidTr="0002583C">
        <w:trPr>
          <w:trHeight w:val="70"/>
        </w:trPr>
        <w:tc>
          <w:tcPr>
            <w:tcW w:w="1520" w:type="dxa"/>
            <w:tcBorders>
              <w:top w:val="single" w:sz="4" w:space="0" w:color="auto"/>
              <w:bottom w:val="single" w:sz="4" w:space="0" w:color="auto"/>
            </w:tcBorders>
          </w:tcPr>
          <w:p w14:paraId="01D46CB8" w14:textId="77777777" w:rsidR="00491598" w:rsidRPr="002D0203" w:rsidRDefault="00491598" w:rsidP="0002583C">
            <w:pPr>
              <w:jc w:val="both"/>
              <w:rPr>
                <w:rFonts w:ascii="Arial" w:hAnsi="Arial" w:cs="Arial"/>
                <w:sz w:val="20"/>
                <w:szCs w:val="20"/>
              </w:rPr>
            </w:pPr>
            <w:r>
              <w:rPr>
                <w:rFonts w:ascii="Arial" w:hAnsi="Arial" w:cs="Arial"/>
                <w:sz w:val="20"/>
                <w:szCs w:val="20"/>
              </w:rPr>
              <w:t>Variável</w:t>
            </w:r>
          </w:p>
        </w:tc>
        <w:tc>
          <w:tcPr>
            <w:tcW w:w="1355" w:type="dxa"/>
            <w:tcBorders>
              <w:top w:val="single" w:sz="4" w:space="0" w:color="auto"/>
              <w:bottom w:val="single" w:sz="4" w:space="0" w:color="auto"/>
            </w:tcBorders>
          </w:tcPr>
          <w:p w14:paraId="4D5B7BE0" w14:textId="77777777" w:rsidR="00491598" w:rsidRPr="002D0203" w:rsidRDefault="00491598" w:rsidP="0002583C">
            <w:pPr>
              <w:jc w:val="center"/>
              <w:rPr>
                <w:rFonts w:ascii="Arial" w:hAnsi="Arial" w:cs="Arial"/>
                <w:sz w:val="20"/>
                <w:szCs w:val="20"/>
              </w:rPr>
            </w:pPr>
            <w:r w:rsidRPr="002D0203">
              <w:rPr>
                <w:rFonts w:ascii="Arial" w:hAnsi="Arial" w:cs="Arial"/>
                <w:sz w:val="20"/>
                <w:szCs w:val="20"/>
              </w:rPr>
              <w:t>Modelo 1</w:t>
            </w:r>
          </w:p>
        </w:tc>
        <w:tc>
          <w:tcPr>
            <w:tcW w:w="1355" w:type="dxa"/>
            <w:tcBorders>
              <w:top w:val="single" w:sz="4" w:space="0" w:color="auto"/>
              <w:bottom w:val="single" w:sz="4" w:space="0" w:color="auto"/>
            </w:tcBorders>
          </w:tcPr>
          <w:p w14:paraId="49AC2096" w14:textId="77777777" w:rsidR="00491598" w:rsidRPr="002D0203" w:rsidRDefault="00491598" w:rsidP="0002583C">
            <w:pPr>
              <w:jc w:val="center"/>
              <w:rPr>
                <w:rFonts w:ascii="Arial" w:hAnsi="Arial" w:cs="Arial"/>
                <w:sz w:val="20"/>
                <w:szCs w:val="20"/>
              </w:rPr>
            </w:pPr>
            <w:r w:rsidRPr="002D0203">
              <w:rPr>
                <w:rFonts w:ascii="Arial" w:hAnsi="Arial" w:cs="Arial"/>
                <w:sz w:val="20"/>
                <w:szCs w:val="20"/>
              </w:rPr>
              <w:t>Modelo 2</w:t>
            </w:r>
          </w:p>
        </w:tc>
        <w:tc>
          <w:tcPr>
            <w:tcW w:w="1355" w:type="dxa"/>
            <w:tcBorders>
              <w:top w:val="single" w:sz="4" w:space="0" w:color="auto"/>
              <w:bottom w:val="single" w:sz="4" w:space="0" w:color="auto"/>
            </w:tcBorders>
          </w:tcPr>
          <w:p w14:paraId="6B6AEDA9" w14:textId="77777777" w:rsidR="00491598" w:rsidRPr="002D0203" w:rsidRDefault="00491598" w:rsidP="0002583C">
            <w:pPr>
              <w:jc w:val="center"/>
              <w:rPr>
                <w:rFonts w:ascii="Arial" w:hAnsi="Arial" w:cs="Arial"/>
                <w:sz w:val="20"/>
                <w:szCs w:val="20"/>
              </w:rPr>
            </w:pPr>
            <w:r w:rsidRPr="002D0203">
              <w:rPr>
                <w:rFonts w:ascii="Arial" w:hAnsi="Arial" w:cs="Arial"/>
                <w:sz w:val="20"/>
                <w:szCs w:val="20"/>
              </w:rPr>
              <w:t>Modelo 3</w:t>
            </w:r>
          </w:p>
        </w:tc>
        <w:tc>
          <w:tcPr>
            <w:tcW w:w="1356" w:type="dxa"/>
            <w:tcBorders>
              <w:top w:val="single" w:sz="4" w:space="0" w:color="auto"/>
              <w:bottom w:val="single" w:sz="4" w:space="0" w:color="auto"/>
            </w:tcBorders>
          </w:tcPr>
          <w:p w14:paraId="002C5E11" w14:textId="77777777" w:rsidR="00491598" w:rsidRPr="002D0203" w:rsidRDefault="00491598" w:rsidP="0002583C">
            <w:pPr>
              <w:jc w:val="center"/>
              <w:rPr>
                <w:rFonts w:ascii="Arial" w:hAnsi="Arial" w:cs="Arial"/>
                <w:sz w:val="20"/>
                <w:szCs w:val="20"/>
              </w:rPr>
            </w:pPr>
            <w:r w:rsidRPr="002D0203">
              <w:rPr>
                <w:rFonts w:ascii="Arial" w:hAnsi="Arial" w:cs="Arial"/>
                <w:sz w:val="20"/>
                <w:szCs w:val="20"/>
              </w:rPr>
              <w:t>Modelo 4</w:t>
            </w:r>
          </w:p>
        </w:tc>
        <w:tc>
          <w:tcPr>
            <w:tcW w:w="1547" w:type="dxa"/>
            <w:tcBorders>
              <w:top w:val="single" w:sz="4" w:space="0" w:color="auto"/>
              <w:bottom w:val="single" w:sz="4" w:space="0" w:color="auto"/>
            </w:tcBorders>
          </w:tcPr>
          <w:p w14:paraId="4121546B" w14:textId="77777777" w:rsidR="00491598" w:rsidRPr="002D0203" w:rsidRDefault="00491598" w:rsidP="0002583C">
            <w:pPr>
              <w:jc w:val="center"/>
              <w:rPr>
                <w:rFonts w:ascii="Arial" w:hAnsi="Arial" w:cs="Arial"/>
                <w:sz w:val="20"/>
                <w:szCs w:val="20"/>
              </w:rPr>
            </w:pPr>
            <w:r w:rsidRPr="002D0203">
              <w:rPr>
                <w:rFonts w:ascii="Arial" w:hAnsi="Arial" w:cs="Arial"/>
                <w:sz w:val="20"/>
                <w:szCs w:val="20"/>
              </w:rPr>
              <w:t>Modelo Geral</w:t>
            </w:r>
          </w:p>
        </w:tc>
      </w:tr>
      <w:tr w:rsidR="00491598" w14:paraId="59B99E5F" w14:textId="77777777" w:rsidTr="0002583C">
        <w:tc>
          <w:tcPr>
            <w:tcW w:w="1520" w:type="dxa"/>
            <w:tcBorders>
              <w:top w:val="single" w:sz="4" w:space="0" w:color="auto"/>
            </w:tcBorders>
            <w:vAlign w:val="center"/>
          </w:tcPr>
          <w:p w14:paraId="286F9388" w14:textId="77777777" w:rsidR="00491598" w:rsidRPr="002D0203" w:rsidRDefault="00491598" w:rsidP="0002583C">
            <w:pPr>
              <w:spacing w:line="360" w:lineRule="auto"/>
              <w:jc w:val="both"/>
              <w:rPr>
                <w:rFonts w:ascii="Arial" w:hAnsi="Arial" w:cs="Arial"/>
                <w:sz w:val="20"/>
                <w:szCs w:val="20"/>
              </w:rPr>
            </w:pPr>
            <w:r>
              <w:rPr>
                <w:rFonts w:ascii="Arial" w:hAnsi="Arial" w:cs="Arial"/>
                <w:sz w:val="20"/>
                <w:szCs w:val="20"/>
              </w:rPr>
              <w:t>C</w:t>
            </w:r>
          </w:p>
        </w:tc>
        <w:tc>
          <w:tcPr>
            <w:tcW w:w="1355" w:type="dxa"/>
            <w:tcBorders>
              <w:top w:val="single" w:sz="4" w:space="0" w:color="auto"/>
            </w:tcBorders>
            <w:vAlign w:val="center"/>
          </w:tcPr>
          <w:p w14:paraId="63761B2D" w14:textId="77777777" w:rsidR="00491598" w:rsidRDefault="00997E2F" w:rsidP="0002583C">
            <w:pPr>
              <w:jc w:val="center"/>
              <w:rPr>
                <w:rFonts w:ascii="Arial" w:hAnsi="Arial" w:cs="Arial"/>
                <w:sz w:val="20"/>
                <w:szCs w:val="20"/>
              </w:rPr>
            </w:pPr>
            <w:r>
              <w:rPr>
                <w:rFonts w:ascii="Arial" w:hAnsi="Arial" w:cs="Arial"/>
                <w:sz w:val="20"/>
                <w:szCs w:val="20"/>
              </w:rPr>
              <w:t>- 0,109</w:t>
            </w:r>
          </w:p>
          <w:p w14:paraId="59A1DC7D" w14:textId="768E0DC5" w:rsidR="00997E2F" w:rsidRDefault="0097513B" w:rsidP="0002583C">
            <w:pPr>
              <w:jc w:val="center"/>
              <w:rPr>
                <w:rFonts w:ascii="Arial" w:hAnsi="Arial" w:cs="Arial"/>
                <w:sz w:val="20"/>
                <w:szCs w:val="20"/>
              </w:rPr>
            </w:pPr>
            <w:r>
              <w:rPr>
                <w:rFonts w:ascii="Arial" w:hAnsi="Arial" w:cs="Arial"/>
                <w:sz w:val="20"/>
                <w:szCs w:val="20"/>
              </w:rPr>
              <w:t>[</w:t>
            </w:r>
            <w:r w:rsidR="00F61637">
              <w:rPr>
                <w:rFonts w:ascii="Arial" w:hAnsi="Arial" w:cs="Arial"/>
                <w:sz w:val="20"/>
                <w:szCs w:val="20"/>
              </w:rPr>
              <w:t>- 0,2631</w:t>
            </w:r>
            <w:r>
              <w:rPr>
                <w:rFonts w:ascii="Arial" w:hAnsi="Arial" w:cs="Arial"/>
                <w:sz w:val="20"/>
                <w:szCs w:val="20"/>
              </w:rPr>
              <w:t>]</w:t>
            </w:r>
          </w:p>
          <w:p w14:paraId="1BCBBF10" w14:textId="5E82C3E4" w:rsidR="00997E2F" w:rsidRPr="002D0203" w:rsidRDefault="00997E2F" w:rsidP="0002583C">
            <w:pPr>
              <w:jc w:val="center"/>
              <w:rPr>
                <w:rFonts w:ascii="Arial" w:hAnsi="Arial" w:cs="Arial"/>
                <w:sz w:val="20"/>
                <w:szCs w:val="20"/>
              </w:rPr>
            </w:pPr>
          </w:p>
        </w:tc>
        <w:tc>
          <w:tcPr>
            <w:tcW w:w="1355" w:type="dxa"/>
            <w:tcBorders>
              <w:top w:val="single" w:sz="4" w:space="0" w:color="auto"/>
            </w:tcBorders>
            <w:vAlign w:val="center"/>
          </w:tcPr>
          <w:p w14:paraId="3A4D520E" w14:textId="77777777" w:rsidR="00491598" w:rsidRDefault="00997E2F" w:rsidP="0002583C">
            <w:pPr>
              <w:jc w:val="center"/>
              <w:rPr>
                <w:rFonts w:ascii="Arial" w:hAnsi="Arial" w:cs="Arial"/>
                <w:sz w:val="20"/>
                <w:szCs w:val="20"/>
              </w:rPr>
            </w:pPr>
            <w:r>
              <w:rPr>
                <w:rFonts w:ascii="Arial" w:hAnsi="Arial" w:cs="Arial"/>
                <w:sz w:val="20"/>
                <w:szCs w:val="20"/>
              </w:rPr>
              <w:t>0,262</w:t>
            </w:r>
          </w:p>
          <w:p w14:paraId="5EA222E0" w14:textId="7867DE96" w:rsidR="00997E2F" w:rsidRDefault="0097513B" w:rsidP="0002583C">
            <w:pPr>
              <w:jc w:val="center"/>
              <w:rPr>
                <w:rFonts w:ascii="Arial" w:hAnsi="Arial" w:cs="Arial"/>
                <w:sz w:val="20"/>
                <w:szCs w:val="20"/>
              </w:rPr>
            </w:pPr>
            <w:r>
              <w:rPr>
                <w:rFonts w:ascii="Arial" w:hAnsi="Arial" w:cs="Arial"/>
                <w:sz w:val="20"/>
                <w:szCs w:val="20"/>
              </w:rPr>
              <w:t>[</w:t>
            </w:r>
            <w:r w:rsidR="00997E2F">
              <w:rPr>
                <w:rFonts w:ascii="Arial" w:hAnsi="Arial" w:cs="Arial"/>
                <w:sz w:val="20"/>
                <w:szCs w:val="20"/>
              </w:rPr>
              <w:t>0,</w:t>
            </w:r>
            <w:r w:rsidR="00E4323A">
              <w:rPr>
                <w:rFonts w:ascii="Arial" w:hAnsi="Arial" w:cs="Arial"/>
                <w:sz w:val="20"/>
                <w:szCs w:val="20"/>
              </w:rPr>
              <w:t>6466</w:t>
            </w:r>
            <w:r>
              <w:rPr>
                <w:rFonts w:ascii="Arial" w:hAnsi="Arial" w:cs="Arial"/>
                <w:sz w:val="20"/>
                <w:szCs w:val="20"/>
              </w:rPr>
              <w:t>]</w:t>
            </w:r>
          </w:p>
          <w:p w14:paraId="0DF942C3" w14:textId="7E13F4C5" w:rsidR="00997E2F" w:rsidRPr="002D0203" w:rsidRDefault="00997E2F" w:rsidP="0002583C">
            <w:pPr>
              <w:jc w:val="center"/>
              <w:rPr>
                <w:rFonts w:ascii="Arial" w:hAnsi="Arial" w:cs="Arial"/>
                <w:sz w:val="20"/>
                <w:szCs w:val="20"/>
              </w:rPr>
            </w:pPr>
          </w:p>
        </w:tc>
        <w:tc>
          <w:tcPr>
            <w:tcW w:w="1355" w:type="dxa"/>
            <w:tcBorders>
              <w:top w:val="single" w:sz="4" w:space="0" w:color="auto"/>
            </w:tcBorders>
            <w:vAlign w:val="center"/>
          </w:tcPr>
          <w:p w14:paraId="5AE21095" w14:textId="77777777" w:rsidR="00491598" w:rsidRDefault="00997E2F" w:rsidP="0002583C">
            <w:pPr>
              <w:jc w:val="center"/>
              <w:rPr>
                <w:rFonts w:ascii="Arial" w:hAnsi="Arial" w:cs="Arial"/>
                <w:sz w:val="20"/>
                <w:szCs w:val="20"/>
              </w:rPr>
            </w:pPr>
            <w:r>
              <w:rPr>
                <w:rFonts w:ascii="Arial" w:hAnsi="Arial" w:cs="Arial"/>
                <w:sz w:val="20"/>
                <w:szCs w:val="20"/>
              </w:rPr>
              <w:t>- 0,940</w:t>
            </w:r>
          </w:p>
          <w:p w14:paraId="464B26BC" w14:textId="729E302C"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- 1,8336</w:t>
            </w:r>
            <w:r>
              <w:rPr>
                <w:rFonts w:ascii="Arial" w:hAnsi="Arial" w:cs="Arial"/>
                <w:sz w:val="20"/>
                <w:szCs w:val="20"/>
              </w:rPr>
              <w:t>]</w:t>
            </w:r>
            <w:r w:rsidR="00997E2F" w:rsidRPr="00997E2F">
              <w:rPr>
                <w:rFonts w:ascii="Arial" w:hAnsi="Arial" w:cs="Arial"/>
                <w:sz w:val="20"/>
                <w:szCs w:val="20"/>
                <w:vertAlign w:val="superscript"/>
              </w:rPr>
              <w:t>(c)</w:t>
            </w:r>
          </w:p>
          <w:p w14:paraId="70455017" w14:textId="7C9048F0" w:rsidR="00997E2F" w:rsidRPr="002D0203" w:rsidRDefault="00997E2F" w:rsidP="0002583C">
            <w:pPr>
              <w:jc w:val="center"/>
              <w:rPr>
                <w:rFonts w:ascii="Arial" w:hAnsi="Arial" w:cs="Arial"/>
                <w:sz w:val="20"/>
                <w:szCs w:val="20"/>
              </w:rPr>
            </w:pPr>
          </w:p>
        </w:tc>
        <w:tc>
          <w:tcPr>
            <w:tcW w:w="1356" w:type="dxa"/>
            <w:tcBorders>
              <w:top w:val="single" w:sz="4" w:space="0" w:color="auto"/>
            </w:tcBorders>
            <w:vAlign w:val="center"/>
          </w:tcPr>
          <w:p w14:paraId="374FC987" w14:textId="77777777" w:rsidR="00491598" w:rsidRDefault="00997E2F" w:rsidP="0002583C">
            <w:pPr>
              <w:jc w:val="center"/>
              <w:rPr>
                <w:rFonts w:ascii="Arial" w:hAnsi="Arial" w:cs="Arial"/>
                <w:sz w:val="20"/>
                <w:szCs w:val="20"/>
              </w:rPr>
            </w:pPr>
            <w:r>
              <w:rPr>
                <w:rFonts w:ascii="Arial" w:hAnsi="Arial" w:cs="Arial"/>
                <w:sz w:val="20"/>
                <w:szCs w:val="20"/>
              </w:rPr>
              <w:t>0,104</w:t>
            </w:r>
          </w:p>
          <w:p w14:paraId="20ED0767" w14:textId="72320213" w:rsidR="00997E2F" w:rsidRDefault="0097513B" w:rsidP="0002583C">
            <w:pPr>
              <w:jc w:val="center"/>
              <w:rPr>
                <w:rFonts w:ascii="Arial" w:hAnsi="Arial" w:cs="Arial"/>
                <w:sz w:val="20"/>
                <w:szCs w:val="20"/>
              </w:rPr>
            </w:pPr>
            <w:r>
              <w:rPr>
                <w:rFonts w:ascii="Arial" w:hAnsi="Arial" w:cs="Arial"/>
                <w:sz w:val="20"/>
                <w:szCs w:val="20"/>
              </w:rPr>
              <w:t>[</w:t>
            </w:r>
            <w:r w:rsidR="00997E2F">
              <w:rPr>
                <w:rFonts w:ascii="Arial" w:hAnsi="Arial" w:cs="Arial"/>
                <w:sz w:val="20"/>
                <w:szCs w:val="20"/>
              </w:rPr>
              <w:t>0,</w:t>
            </w:r>
            <w:r w:rsidR="00E4323A">
              <w:rPr>
                <w:rFonts w:ascii="Arial" w:hAnsi="Arial" w:cs="Arial"/>
                <w:sz w:val="20"/>
                <w:szCs w:val="20"/>
              </w:rPr>
              <w:t>2381</w:t>
            </w:r>
            <w:r>
              <w:rPr>
                <w:rFonts w:ascii="Arial" w:hAnsi="Arial" w:cs="Arial"/>
                <w:sz w:val="20"/>
                <w:szCs w:val="20"/>
              </w:rPr>
              <w:t>]</w:t>
            </w:r>
          </w:p>
          <w:p w14:paraId="1B4E39FA" w14:textId="1DBE19B5" w:rsidR="00997E2F" w:rsidRPr="002D0203" w:rsidRDefault="00997E2F" w:rsidP="0002583C">
            <w:pPr>
              <w:jc w:val="center"/>
              <w:rPr>
                <w:rFonts w:ascii="Arial" w:hAnsi="Arial" w:cs="Arial"/>
                <w:sz w:val="20"/>
                <w:szCs w:val="20"/>
              </w:rPr>
            </w:pPr>
          </w:p>
        </w:tc>
        <w:tc>
          <w:tcPr>
            <w:tcW w:w="1547" w:type="dxa"/>
            <w:tcBorders>
              <w:top w:val="single" w:sz="4" w:space="0" w:color="auto"/>
            </w:tcBorders>
            <w:vAlign w:val="center"/>
          </w:tcPr>
          <w:p w14:paraId="12DADB63" w14:textId="77777777" w:rsidR="00491598" w:rsidRDefault="00F65856" w:rsidP="0002583C">
            <w:pPr>
              <w:jc w:val="center"/>
              <w:rPr>
                <w:rFonts w:ascii="Arial" w:hAnsi="Arial" w:cs="Arial"/>
                <w:sz w:val="20"/>
                <w:szCs w:val="20"/>
              </w:rPr>
            </w:pPr>
            <w:r>
              <w:rPr>
                <w:rFonts w:ascii="Arial" w:hAnsi="Arial" w:cs="Arial"/>
                <w:sz w:val="20"/>
                <w:szCs w:val="20"/>
              </w:rPr>
              <w:t>- 1,542</w:t>
            </w:r>
          </w:p>
          <w:p w14:paraId="54116473" w14:textId="5B30F6DD"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- 2,1293</w:t>
            </w:r>
            <w:r>
              <w:rPr>
                <w:rFonts w:ascii="Arial" w:hAnsi="Arial" w:cs="Arial"/>
                <w:sz w:val="20"/>
                <w:szCs w:val="20"/>
              </w:rPr>
              <w:t>]</w:t>
            </w:r>
            <w:r w:rsidR="00F65856" w:rsidRPr="00F65856">
              <w:rPr>
                <w:rFonts w:ascii="Arial" w:hAnsi="Arial" w:cs="Arial"/>
                <w:sz w:val="20"/>
                <w:szCs w:val="20"/>
                <w:vertAlign w:val="superscript"/>
              </w:rPr>
              <w:t>(b)</w:t>
            </w:r>
          </w:p>
          <w:p w14:paraId="29DE8C50" w14:textId="4E98B981" w:rsidR="00F65856" w:rsidRPr="002D0203" w:rsidRDefault="00F65856" w:rsidP="0002583C">
            <w:pPr>
              <w:jc w:val="center"/>
              <w:rPr>
                <w:rFonts w:ascii="Arial" w:hAnsi="Arial" w:cs="Arial"/>
                <w:sz w:val="20"/>
                <w:szCs w:val="20"/>
              </w:rPr>
            </w:pPr>
          </w:p>
        </w:tc>
      </w:tr>
      <w:tr w:rsidR="00491598" w14:paraId="715DDDDD" w14:textId="77777777" w:rsidTr="0002583C">
        <w:tc>
          <w:tcPr>
            <w:tcW w:w="1520" w:type="dxa"/>
            <w:vAlign w:val="center"/>
          </w:tcPr>
          <w:p w14:paraId="40FD7D06"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I_1</w:t>
            </w:r>
          </w:p>
        </w:tc>
        <w:tc>
          <w:tcPr>
            <w:tcW w:w="1355" w:type="dxa"/>
            <w:vAlign w:val="center"/>
          </w:tcPr>
          <w:p w14:paraId="192D6597" w14:textId="77777777" w:rsidR="00491598" w:rsidRDefault="00997E2F" w:rsidP="0002583C">
            <w:pPr>
              <w:jc w:val="center"/>
              <w:rPr>
                <w:rFonts w:ascii="Arial" w:hAnsi="Arial" w:cs="Arial"/>
                <w:sz w:val="20"/>
                <w:szCs w:val="20"/>
              </w:rPr>
            </w:pPr>
            <w:r>
              <w:rPr>
                <w:rFonts w:ascii="Arial" w:hAnsi="Arial" w:cs="Arial"/>
                <w:sz w:val="20"/>
                <w:szCs w:val="20"/>
              </w:rPr>
              <w:t>0,470</w:t>
            </w:r>
          </w:p>
          <w:p w14:paraId="43A84B99" w14:textId="1980DA52" w:rsidR="00997E2F" w:rsidRDefault="0097513B" w:rsidP="0002583C">
            <w:pPr>
              <w:jc w:val="center"/>
              <w:rPr>
                <w:rFonts w:ascii="Arial" w:hAnsi="Arial" w:cs="Arial"/>
                <w:sz w:val="20"/>
                <w:szCs w:val="20"/>
              </w:rPr>
            </w:pPr>
            <w:r>
              <w:rPr>
                <w:rFonts w:ascii="Arial" w:hAnsi="Arial" w:cs="Arial"/>
                <w:sz w:val="20"/>
                <w:szCs w:val="20"/>
              </w:rPr>
              <w:t>[</w:t>
            </w:r>
            <w:r w:rsidR="00997E2F">
              <w:rPr>
                <w:rFonts w:ascii="Arial" w:hAnsi="Arial" w:cs="Arial"/>
                <w:sz w:val="20"/>
                <w:szCs w:val="20"/>
              </w:rPr>
              <w:t>0,</w:t>
            </w:r>
            <w:r w:rsidR="00F61637">
              <w:rPr>
                <w:rFonts w:ascii="Arial" w:hAnsi="Arial" w:cs="Arial"/>
                <w:sz w:val="20"/>
                <w:szCs w:val="20"/>
              </w:rPr>
              <w:t>5217</w:t>
            </w:r>
            <w:r>
              <w:rPr>
                <w:rFonts w:ascii="Arial" w:hAnsi="Arial" w:cs="Arial"/>
                <w:sz w:val="20"/>
                <w:szCs w:val="20"/>
              </w:rPr>
              <w:t>]</w:t>
            </w:r>
          </w:p>
          <w:p w14:paraId="7823CB2E" w14:textId="75150D33" w:rsidR="00997E2F" w:rsidRPr="002D0203" w:rsidRDefault="00997E2F" w:rsidP="0002583C">
            <w:pPr>
              <w:jc w:val="center"/>
              <w:rPr>
                <w:rFonts w:ascii="Arial" w:hAnsi="Arial" w:cs="Arial"/>
                <w:sz w:val="20"/>
                <w:szCs w:val="20"/>
              </w:rPr>
            </w:pPr>
          </w:p>
        </w:tc>
        <w:tc>
          <w:tcPr>
            <w:tcW w:w="1355" w:type="dxa"/>
            <w:vAlign w:val="center"/>
          </w:tcPr>
          <w:p w14:paraId="10369C93" w14:textId="7AC0589E"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1A21666E" w14:textId="40149232"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0E635830" w14:textId="17ADA33E"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39BEA867" w14:textId="77777777" w:rsidR="00491598" w:rsidRDefault="00F65856" w:rsidP="0002583C">
            <w:pPr>
              <w:jc w:val="center"/>
              <w:rPr>
                <w:rFonts w:ascii="Arial" w:hAnsi="Arial" w:cs="Arial"/>
                <w:sz w:val="20"/>
                <w:szCs w:val="20"/>
              </w:rPr>
            </w:pPr>
            <w:r>
              <w:rPr>
                <w:rFonts w:ascii="Arial" w:hAnsi="Arial" w:cs="Arial"/>
                <w:sz w:val="20"/>
                <w:szCs w:val="20"/>
              </w:rPr>
              <w:t>2,024</w:t>
            </w:r>
          </w:p>
          <w:p w14:paraId="765D8FAC" w14:textId="159FDE28"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2,0280</w:t>
            </w:r>
            <w:r>
              <w:rPr>
                <w:rFonts w:ascii="Arial" w:hAnsi="Arial" w:cs="Arial"/>
                <w:sz w:val="20"/>
                <w:szCs w:val="20"/>
              </w:rPr>
              <w:t>]</w:t>
            </w:r>
            <w:r w:rsidR="00F65856" w:rsidRPr="00F65856">
              <w:rPr>
                <w:rFonts w:ascii="Arial" w:hAnsi="Arial" w:cs="Arial"/>
                <w:sz w:val="20"/>
                <w:szCs w:val="20"/>
                <w:vertAlign w:val="superscript"/>
              </w:rPr>
              <w:t>(b)</w:t>
            </w:r>
          </w:p>
          <w:p w14:paraId="22D8C72D" w14:textId="28198705" w:rsidR="00F65856" w:rsidRPr="002D0203" w:rsidRDefault="00F65856" w:rsidP="0002583C">
            <w:pPr>
              <w:jc w:val="center"/>
              <w:rPr>
                <w:rFonts w:ascii="Arial" w:hAnsi="Arial" w:cs="Arial"/>
                <w:sz w:val="20"/>
                <w:szCs w:val="20"/>
              </w:rPr>
            </w:pPr>
          </w:p>
        </w:tc>
      </w:tr>
      <w:tr w:rsidR="00491598" w14:paraId="70965856" w14:textId="77777777" w:rsidTr="0002583C">
        <w:tc>
          <w:tcPr>
            <w:tcW w:w="1520" w:type="dxa"/>
            <w:vAlign w:val="center"/>
          </w:tcPr>
          <w:p w14:paraId="3915634B"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I_2</w:t>
            </w:r>
          </w:p>
        </w:tc>
        <w:tc>
          <w:tcPr>
            <w:tcW w:w="1355" w:type="dxa"/>
            <w:vAlign w:val="center"/>
          </w:tcPr>
          <w:p w14:paraId="048EFF67" w14:textId="5FBE8137"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3A3CEFB6" w14:textId="77777777" w:rsidR="00491598" w:rsidRDefault="00997E2F" w:rsidP="0002583C">
            <w:pPr>
              <w:jc w:val="center"/>
              <w:rPr>
                <w:rFonts w:ascii="Arial" w:hAnsi="Arial" w:cs="Arial"/>
                <w:sz w:val="20"/>
                <w:szCs w:val="20"/>
              </w:rPr>
            </w:pPr>
            <w:r>
              <w:rPr>
                <w:rFonts w:ascii="Arial" w:hAnsi="Arial" w:cs="Arial"/>
                <w:sz w:val="20"/>
                <w:szCs w:val="20"/>
              </w:rPr>
              <w:t>- 1,054</w:t>
            </w:r>
          </w:p>
          <w:p w14:paraId="20783A63" w14:textId="7942D96E"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- 1,1286</w:t>
            </w:r>
            <w:r>
              <w:rPr>
                <w:rFonts w:ascii="Arial" w:hAnsi="Arial" w:cs="Arial"/>
                <w:sz w:val="20"/>
                <w:szCs w:val="20"/>
              </w:rPr>
              <w:t>]</w:t>
            </w:r>
          </w:p>
          <w:p w14:paraId="4DAE4A5D" w14:textId="580705D9" w:rsidR="00997E2F" w:rsidRPr="002D0203" w:rsidRDefault="00997E2F" w:rsidP="0002583C">
            <w:pPr>
              <w:jc w:val="center"/>
              <w:rPr>
                <w:rFonts w:ascii="Arial" w:hAnsi="Arial" w:cs="Arial"/>
                <w:sz w:val="20"/>
                <w:szCs w:val="20"/>
              </w:rPr>
            </w:pPr>
          </w:p>
        </w:tc>
        <w:tc>
          <w:tcPr>
            <w:tcW w:w="1355" w:type="dxa"/>
            <w:vAlign w:val="center"/>
          </w:tcPr>
          <w:p w14:paraId="3267A435" w14:textId="7039581C"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4D13579A" w14:textId="7B5C5298"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2E063280" w14:textId="77777777" w:rsidR="00491598" w:rsidRDefault="00F65856" w:rsidP="0002583C">
            <w:pPr>
              <w:jc w:val="center"/>
              <w:rPr>
                <w:rFonts w:ascii="Arial" w:hAnsi="Arial" w:cs="Arial"/>
                <w:sz w:val="20"/>
                <w:szCs w:val="20"/>
              </w:rPr>
            </w:pPr>
            <w:r>
              <w:rPr>
                <w:rFonts w:ascii="Arial" w:hAnsi="Arial" w:cs="Arial"/>
                <w:sz w:val="20"/>
                <w:szCs w:val="20"/>
              </w:rPr>
              <w:t>- 0,837</w:t>
            </w:r>
          </w:p>
          <w:p w14:paraId="0B2B45C4" w14:textId="49A3A3DF"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- 0,8388</w:t>
            </w:r>
            <w:r>
              <w:rPr>
                <w:rFonts w:ascii="Arial" w:hAnsi="Arial" w:cs="Arial"/>
                <w:sz w:val="20"/>
                <w:szCs w:val="20"/>
              </w:rPr>
              <w:t>]</w:t>
            </w:r>
          </w:p>
          <w:p w14:paraId="30D182DE" w14:textId="367A4163" w:rsidR="00F65856" w:rsidRPr="002D0203" w:rsidRDefault="00F65856" w:rsidP="0002583C">
            <w:pPr>
              <w:jc w:val="center"/>
              <w:rPr>
                <w:rFonts w:ascii="Arial" w:hAnsi="Arial" w:cs="Arial"/>
                <w:sz w:val="20"/>
                <w:szCs w:val="20"/>
              </w:rPr>
            </w:pPr>
          </w:p>
        </w:tc>
      </w:tr>
      <w:tr w:rsidR="00491598" w14:paraId="3DFFE402" w14:textId="77777777" w:rsidTr="0002583C">
        <w:tc>
          <w:tcPr>
            <w:tcW w:w="1520" w:type="dxa"/>
            <w:vAlign w:val="center"/>
          </w:tcPr>
          <w:p w14:paraId="52C7C557"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I_3</w:t>
            </w:r>
          </w:p>
        </w:tc>
        <w:tc>
          <w:tcPr>
            <w:tcW w:w="1355" w:type="dxa"/>
            <w:vAlign w:val="center"/>
          </w:tcPr>
          <w:p w14:paraId="54EA7C3C" w14:textId="2A701770"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42ACFDA3" w14:textId="366FD161"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4EBC15CF" w14:textId="77777777" w:rsidR="00491598" w:rsidRDefault="00997E2F" w:rsidP="0002583C">
            <w:pPr>
              <w:jc w:val="center"/>
              <w:rPr>
                <w:rFonts w:ascii="Arial" w:hAnsi="Arial" w:cs="Arial"/>
                <w:sz w:val="20"/>
                <w:szCs w:val="20"/>
              </w:rPr>
            </w:pPr>
            <w:r>
              <w:rPr>
                <w:rFonts w:ascii="Arial" w:hAnsi="Arial" w:cs="Arial"/>
                <w:sz w:val="20"/>
                <w:szCs w:val="20"/>
              </w:rPr>
              <w:t>1,109</w:t>
            </w:r>
          </w:p>
          <w:p w14:paraId="565441BC" w14:textId="14E962C3"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2,4224</w:t>
            </w:r>
            <w:r>
              <w:rPr>
                <w:rFonts w:ascii="Arial" w:hAnsi="Arial" w:cs="Arial"/>
                <w:sz w:val="20"/>
                <w:szCs w:val="20"/>
              </w:rPr>
              <w:t>]</w:t>
            </w:r>
            <w:r w:rsidR="00997E2F" w:rsidRPr="00997E2F">
              <w:rPr>
                <w:rFonts w:ascii="Arial" w:hAnsi="Arial" w:cs="Arial"/>
                <w:sz w:val="20"/>
                <w:szCs w:val="20"/>
                <w:vertAlign w:val="superscript"/>
              </w:rPr>
              <w:t>(b)</w:t>
            </w:r>
          </w:p>
          <w:p w14:paraId="52B126EA" w14:textId="25E4D1E0" w:rsidR="00997E2F" w:rsidRPr="002D0203" w:rsidRDefault="00997E2F" w:rsidP="0002583C">
            <w:pPr>
              <w:jc w:val="center"/>
              <w:rPr>
                <w:rFonts w:ascii="Arial" w:hAnsi="Arial" w:cs="Arial"/>
                <w:sz w:val="20"/>
                <w:szCs w:val="20"/>
              </w:rPr>
            </w:pPr>
          </w:p>
        </w:tc>
        <w:tc>
          <w:tcPr>
            <w:tcW w:w="1356" w:type="dxa"/>
            <w:vAlign w:val="center"/>
          </w:tcPr>
          <w:p w14:paraId="712EBC24" w14:textId="1FD97F97"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60C87A9D" w14:textId="77777777" w:rsidR="00491598" w:rsidRDefault="00F65856" w:rsidP="0002583C">
            <w:pPr>
              <w:jc w:val="center"/>
              <w:rPr>
                <w:rFonts w:ascii="Arial" w:hAnsi="Arial" w:cs="Arial"/>
                <w:sz w:val="20"/>
                <w:szCs w:val="20"/>
              </w:rPr>
            </w:pPr>
            <w:r>
              <w:rPr>
                <w:rFonts w:ascii="Arial" w:hAnsi="Arial" w:cs="Arial"/>
                <w:sz w:val="20"/>
                <w:szCs w:val="20"/>
              </w:rPr>
              <w:t>- 0,837</w:t>
            </w:r>
          </w:p>
          <w:p w14:paraId="5FE82A04" w14:textId="08F682F9"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2,7625</w:t>
            </w:r>
            <w:r>
              <w:rPr>
                <w:rFonts w:ascii="Arial" w:hAnsi="Arial" w:cs="Arial"/>
                <w:sz w:val="20"/>
                <w:szCs w:val="20"/>
              </w:rPr>
              <w:t>]</w:t>
            </w:r>
            <w:r w:rsidR="00F65856" w:rsidRPr="00F65856">
              <w:rPr>
                <w:rFonts w:ascii="Arial" w:hAnsi="Arial" w:cs="Arial"/>
                <w:sz w:val="20"/>
                <w:szCs w:val="20"/>
                <w:vertAlign w:val="superscript"/>
              </w:rPr>
              <w:t>(</w:t>
            </w:r>
            <w:r w:rsidR="00EF5633">
              <w:rPr>
                <w:rFonts w:ascii="Arial" w:hAnsi="Arial" w:cs="Arial"/>
                <w:sz w:val="20"/>
                <w:szCs w:val="20"/>
                <w:vertAlign w:val="superscript"/>
              </w:rPr>
              <w:t>a</w:t>
            </w:r>
            <w:r w:rsidR="00F65856" w:rsidRPr="00F65856">
              <w:rPr>
                <w:rFonts w:ascii="Arial" w:hAnsi="Arial" w:cs="Arial"/>
                <w:sz w:val="20"/>
                <w:szCs w:val="20"/>
                <w:vertAlign w:val="superscript"/>
              </w:rPr>
              <w:t>)</w:t>
            </w:r>
          </w:p>
          <w:p w14:paraId="0C9151E8" w14:textId="1B5D2885" w:rsidR="00F65856" w:rsidRPr="002D0203" w:rsidRDefault="00F65856" w:rsidP="0002583C">
            <w:pPr>
              <w:jc w:val="center"/>
              <w:rPr>
                <w:rFonts w:ascii="Arial" w:hAnsi="Arial" w:cs="Arial"/>
                <w:sz w:val="20"/>
                <w:szCs w:val="20"/>
              </w:rPr>
            </w:pPr>
          </w:p>
        </w:tc>
      </w:tr>
      <w:tr w:rsidR="00491598" w14:paraId="1BC51205" w14:textId="77777777" w:rsidTr="0002583C">
        <w:tc>
          <w:tcPr>
            <w:tcW w:w="1520" w:type="dxa"/>
            <w:vAlign w:val="center"/>
          </w:tcPr>
          <w:p w14:paraId="1CDAF972"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I_4</w:t>
            </w:r>
          </w:p>
        </w:tc>
        <w:tc>
          <w:tcPr>
            <w:tcW w:w="1355" w:type="dxa"/>
            <w:vAlign w:val="center"/>
          </w:tcPr>
          <w:p w14:paraId="17A0404A" w14:textId="293FF237"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79CF215C" w14:textId="153BE93F"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1A3FB565" w14:textId="62F6231B" w:rsidR="00491598"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7AA40740" w14:textId="77777777" w:rsidR="00491598" w:rsidRDefault="00997E2F" w:rsidP="0002583C">
            <w:pPr>
              <w:jc w:val="center"/>
              <w:rPr>
                <w:rFonts w:ascii="Arial" w:hAnsi="Arial" w:cs="Arial"/>
                <w:sz w:val="20"/>
                <w:szCs w:val="20"/>
              </w:rPr>
            </w:pPr>
            <w:r>
              <w:rPr>
                <w:rFonts w:ascii="Arial" w:hAnsi="Arial" w:cs="Arial"/>
                <w:sz w:val="20"/>
                <w:szCs w:val="20"/>
              </w:rPr>
              <w:t>- 0,373</w:t>
            </w:r>
          </w:p>
          <w:p w14:paraId="07D4A15B" w14:textId="6DA47362"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- 0,3380</w:t>
            </w:r>
            <w:r>
              <w:rPr>
                <w:rFonts w:ascii="Arial" w:hAnsi="Arial" w:cs="Arial"/>
                <w:sz w:val="20"/>
                <w:szCs w:val="20"/>
              </w:rPr>
              <w:t>]</w:t>
            </w:r>
          </w:p>
          <w:p w14:paraId="5A2F77FA" w14:textId="424FBB63" w:rsidR="00997E2F" w:rsidRPr="002D0203" w:rsidRDefault="00997E2F" w:rsidP="0002583C">
            <w:pPr>
              <w:jc w:val="center"/>
              <w:rPr>
                <w:rFonts w:ascii="Arial" w:hAnsi="Arial" w:cs="Arial"/>
                <w:sz w:val="20"/>
                <w:szCs w:val="20"/>
              </w:rPr>
            </w:pPr>
          </w:p>
        </w:tc>
        <w:tc>
          <w:tcPr>
            <w:tcW w:w="1547" w:type="dxa"/>
            <w:vAlign w:val="center"/>
          </w:tcPr>
          <w:p w14:paraId="6A1AA8A8" w14:textId="76008CC2" w:rsidR="00491598" w:rsidRPr="002D0203" w:rsidRDefault="00456646" w:rsidP="0002583C">
            <w:pPr>
              <w:jc w:val="center"/>
              <w:rPr>
                <w:rFonts w:ascii="Arial" w:hAnsi="Arial" w:cs="Arial"/>
                <w:sz w:val="20"/>
                <w:szCs w:val="20"/>
              </w:rPr>
            </w:pPr>
            <w:r>
              <w:rPr>
                <w:rFonts w:ascii="Arial" w:hAnsi="Arial" w:cs="Arial"/>
                <w:sz w:val="20"/>
                <w:szCs w:val="20"/>
              </w:rPr>
              <w:t>-</w:t>
            </w:r>
          </w:p>
        </w:tc>
      </w:tr>
      <w:tr w:rsidR="00491598" w14:paraId="38ED2878" w14:textId="77777777" w:rsidTr="0002583C">
        <w:tc>
          <w:tcPr>
            <w:tcW w:w="1520" w:type="dxa"/>
            <w:vAlign w:val="center"/>
          </w:tcPr>
          <w:p w14:paraId="72510D40"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G</w:t>
            </w:r>
          </w:p>
        </w:tc>
        <w:tc>
          <w:tcPr>
            <w:tcW w:w="1355" w:type="dxa"/>
            <w:vAlign w:val="center"/>
          </w:tcPr>
          <w:p w14:paraId="496C75D3" w14:textId="77777777" w:rsidR="00491598" w:rsidRDefault="00997E2F" w:rsidP="0002583C">
            <w:pPr>
              <w:jc w:val="center"/>
              <w:rPr>
                <w:rFonts w:ascii="Arial" w:hAnsi="Arial" w:cs="Arial"/>
                <w:sz w:val="20"/>
                <w:szCs w:val="20"/>
              </w:rPr>
            </w:pPr>
            <w:r>
              <w:rPr>
                <w:rFonts w:ascii="Arial" w:hAnsi="Arial" w:cs="Arial"/>
                <w:sz w:val="20"/>
                <w:szCs w:val="20"/>
              </w:rPr>
              <w:t>- 0,156</w:t>
            </w:r>
          </w:p>
          <w:p w14:paraId="7B0FBCDD" w14:textId="5998ECD8" w:rsidR="00997E2F" w:rsidRDefault="0097513B" w:rsidP="0002583C">
            <w:pPr>
              <w:jc w:val="center"/>
              <w:rPr>
                <w:rFonts w:ascii="Arial" w:hAnsi="Arial" w:cs="Arial"/>
                <w:sz w:val="20"/>
                <w:szCs w:val="20"/>
              </w:rPr>
            </w:pPr>
            <w:r>
              <w:rPr>
                <w:rFonts w:ascii="Arial" w:hAnsi="Arial" w:cs="Arial"/>
                <w:sz w:val="20"/>
                <w:szCs w:val="20"/>
              </w:rPr>
              <w:t>[</w:t>
            </w:r>
            <w:r w:rsidR="00F61637">
              <w:rPr>
                <w:rFonts w:ascii="Arial" w:hAnsi="Arial" w:cs="Arial"/>
                <w:sz w:val="20"/>
                <w:szCs w:val="20"/>
              </w:rPr>
              <w:t>- 0,2003</w:t>
            </w:r>
            <w:r>
              <w:rPr>
                <w:rFonts w:ascii="Arial" w:hAnsi="Arial" w:cs="Arial"/>
                <w:sz w:val="20"/>
                <w:szCs w:val="20"/>
              </w:rPr>
              <w:t>]</w:t>
            </w:r>
          </w:p>
          <w:p w14:paraId="5EF76120" w14:textId="0498F586" w:rsidR="00997E2F" w:rsidRPr="002D0203" w:rsidRDefault="00997E2F" w:rsidP="0002583C">
            <w:pPr>
              <w:jc w:val="center"/>
              <w:rPr>
                <w:rFonts w:ascii="Arial" w:hAnsi="Arial" w:cs="Arial"/>
                <w:sz w:val="20"/>
                <w:szCs w:val="20"/>
              </w:rPr>
            </w:pPr>
          </w:p>
        </w:tc>
        <w:tc>
          <w:tcPr>
            <w:tcW w:w="1355" w:type="dxa"/>
            <w:vAlign w:val="center"/>
          </w:tcPr>
          <w:p w14:paraId="0646F3A6" w14:textId="77777777" w:rsidR="00491598" w:rsidRDefault="00997E2F" w:rsidP="0002583C">
            <w:pPr>
              <w:jc w:val="center"/>
              <w:rPr>
                <w:rFonts w:ascii="Arial" w:hAnsi="Arial" w:cs="Arial"/>
                <w:sz w:val="20"/>
                <w:szCs w:val="20"/>
              </w:rPr>
            </w:pPr>
            <w:r>
              <w:rPr>
                <w:rFonts w:ascii="Arial" w:hAnsi="Arial" w:cs="Arial"/>
                <w:sz w:val="20"/>
                <w:szCs w:val="20"/>
              </w:rPr>
              <w:t>- 0,128</w:t>
            </w:r>
          </w:p>
          <w:p w14:paraId="50410597" w14:textId="05E69812"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- 0,1656</w:t>
            </w:r>
            <w:r>
              <w:rPr>
                <w:rFonts w:ascii="Arial" w:hAnsi="Arial" w:cs="Arial"/>
                <w:sz w:val="20"/>
                <w:szCs w:val="20"/>
              </w:rPr>
              <w:t>]</w:t>
            </w:r>
          </w:p>
          <w:p w14:paraId="6E646CD6" w14:textId="56BA9DB5" w:rsidR="00997E2F" w:rsidRPr="002D0203" w:rsidRDefault="00997E2F" w:rsidP="0002583C">
            <w:pPr>
              <w:jc w:val="center"/>
              <w:rPr>
                <w:rFonts w:ascii="Arial" w:hAnsi="Arial" w:cs="Arial"/>
                <w:sz w:val="20"/>
                <w:szCs w:val="20"/>
              </w:rPr>
            </w:pPr>
          </w:p>
        </w:tc>
        <w:tc>
          <w:tcPr>
            <w:tcW w:w="1355" w:type="dxa"/>
            <w:vAlign w:val="center"/>
          </w:tcPr>
          <w:p w14:paraId="6F80A805" w14:textId="77777777" w:rsidR="00491598" w:rsidRDefault="00997E2F" w:rsidP="0002583C">
            <w:pPr>
              <w:jc w:val="center"/>
              <w:rPr>
                <w:rFonts w:ascii="Arial" w:hAnsi="Arial" w:cs="Arial"/>
                <w:sz w:val="20"/>
                <w:szCs w:val="20"/>
              </w:rPr>
            </w:pPr>
            <w:r>
              <w:rPr>
                <w:rFonts w:ascii="Arial" w:hAnsi="Arial" w:cs="Arial"/>
                <w:sz w:val="20"/>
                <w:szCs w:val="20"/>
              </w:rPr>
              <w:t>0,160</w:t>
            </w:r>
          </w:p>
          <w:p w14:paraId="781760AD" w14:textId="01C3E8FB"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0,2112</w:t>
            </w:r>
            <w:r>
              <w:rPr>
                <w:rFonts w:ascii="Arial" w:hAnsi="Arial" w:cs="Arial"/>
                <w:sz w:val="20"/>
                <w:szCs w:val="20"/>
              </w:rPr>
              <w:t>]</w:t>
            </w:r>
          </w:p>
          <w:p w14:paraId="447E1839" w14:textId="36305AC7" w:rsidR="00997E2F" w:rsidRPr="002D0203" w:rsidRDefault="00997E2F" w:rsidP="0002583C">
            <w:pPr>
              <w:jc w:val="center"/>
              <w:rPr>
                <w:rFonts w:ascii="Arial" w:hAnsi="Arial" w:cs="Arial"/>
                <w:sz w:val="20"/>
                <w:szCs w:val="20"/>
              </w:rPr>
            </w:pPr>
          </w:p>
        </w:tc>
        <w:tc>
          <w:tcPr>
            <w:tcW w:w="1356" w:type="dxa"/>
            <w:vAlign w:val="center"/>
          </w:tcPr>
          <w:p w14:paraId="5ED89036" w14:textId="77777777" w:rsidR="00491598" w:rsidRDefault="00997E2F" w:rsidP="0002583C">
            <w:pPr>
              <w:jc w:val="center"/>
              <w:rPr>
                <w:rFonts w:ascii="Arial" w:hAnsi="Arial" w:cs="Arial"/>
                <w:sz w:val="20"/>
                <w:szCs w:val="20"/>
              </w:rPr>
            </w:pPr>
            <w:r>
              <w:rPr>
                <w:rFonts w:ascii="Arial" w:hAnsi="Arial" w:cs="Arial"/>
                <w:sz w:val="20"/>
                <w:szCs w:val="20"/>
              </w:rPr>
              <w:t>- 0,172</w:t>
            </w:r>
          </w:p>
          <w:p w14:paraId="273278BC" w14:textId="12AE0E54"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- 0,2211</w:t>
            </w:r>
            <w:r>
              <w:rPr>
                <w:rFonts w:ascii="Arial" w:hAnsi="Arial" w:cs="Arial"/>
                <w:sz w:val="20"/>
                <w:szCs w:val="20"/>
              </w:rPr>
              <w:t>]</w:t>
            </w:r>
          </w:p>
          <w:p w14:paraId="2AAEB6D6" w14:textId="43E0EEB5" w:rsidR="00997E2F" w:rsidRPr="002D0203" w:rsidRDefault="00997E2F" w:rsidP="0002583C">
            <w:pPr>
              <w:jc w:val="center"/>
              <w:rPr>
                <w:rFonts w:ascii="Arial" w:hAnsi="Arial" w:cs="Arial"/>
                <w:sz w:val="20"/>
                <w:szCs w:val="20"/>
              </w:rPr>
            </w:pPr>
          </w:p>
        </w:tc>
        <w:tc>
          <w:tcPr>
            <w:tcW w:w="1547" w:type="dxa"/>
            <w:vAlign w:val="center"/>
          </w:tcPr>
          <w:p w14:paraId="29DC971B" w14:textId="77777777" w:rsidR="00491598" w:rsidRDefault="00F65856" w:rsidP="0002583C">
            <w:pPr>
              <w:jc w:val="center"/>
              <w:rPr>
                <w:rFonts w:ascii="Arial" w:hAnsi="Arial" w:cs="Arial"/>
                <w:sz w:val="20"/>
                <w:szCs w:val="20"/>
              </w:rPr>
            </w:pPr>
            <w:r>
              <w:rPr>
                <w:rFonts w:ascii="Arial" w:hAnsi="Arial" w:cs="Arial"/>
                <w:sz w:val="20"/>
                <w:szCs w:val="20"/>
              </w:rPr>
              <w:t>0,370</w:t>
            </w:r>
          </w:p>
          <w:p w14:paraId="0F8F8C2C" w14:textId="532E6E50" w:rsidR="00F65856" w:rsidRDefault="0097513B" w:rsidP="0002583C">
            <w:pPr>
              <w:jc w:val="center"/>
              <w:rPr>
                <w:rFonts w:ascii="Arial" w:hAnsi="Arial" w:cs="Arial"/>
                <w:sz w:val="20"/>
                <w:szCs w:val="20"/>
              </w:rPr>
            </w:pPr>
            <w:r>
              <w:rPr>
                <w:rFonts w:ascii="Arial" w:hAnsi="Arial" w:cs="Arial"/>
                <w:sz w:val="20"/>
                <w:szCs w:val="20"/>
              </w:rPr>
              <w:t>[</w:t>
            </w:r>
            <w:r w:rsidR="00F65856">
              <w:rPr>
                <w:rFonts w:ascii="Arial" w:hAnsi="Arial" w:cs="Arial"/>
                <w:sz w:val="20"/>
                <w:szCs w:val="20"/>
              </w:rPr>
              <w:t>0,</w:t>
            </w:r>
            <w:r w:rsidR="00EF5633">
              <w:rPr>
                <w:rFonts w:ascii="Arial" w:hAnsi="Arial" w:cs="Arial"/>
                <w:sz w:val="20"/>
                <w:szCs w:val="20"/>
              </w:rPr>
              <w:t>4889</w:t>
            </w:r>
            <w:r>
              <w:rPr>
                <w:rFonts w:ascii="Arial" w:hAnsi="Arial" w:cs="Arial"/>
                <w:sz w:val="20"/>
                <w:szCs w:val="20"/>
              </w:rPr>
              <w:t>]</w:t>
            </w:r>
          </w:p>
          <w:p w14:paraId="6F4B5AF4" w14:textId="268676FD" w:rsidR="00F65856" w:rsidRPr="002D0203" w:rsidRDefault="00F65856" w:rsidP="0002583C">
            <w:pPr>
              <w:jc w:val="center"/>
              <w:rPr>
                <w:rFonts w:ascii="Arial" w:hAnsi="Arial" w:cs="Arial"/>
                <w:sz w:val="20"/>
                <w:szCs w:val="20"/>
              </w:rPr>
            </w:pPr>
          </w:p>
        </w:tc>
      </w:tr>
      <w:tr w:rsidR="00491598" w14:paraId="503C8AB7" w14:textId="77777777" w:rsidTr="0002583C">
        <w:tc>
          <w:tcPr>
            <w:tcW w:w="1520" w:type="dxa"/>
            <w:vAlign w:val="center"/>
          </w:tcPr>
          <w:p w14:paraId="7D3657BC"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An</w:t>
            </w:r>
          </w:p>
        </w:tc>
        <w:tc>
          <w:tcPr>
            <w:tcW w:w="1355" w:type="dxa"/>
            <w:vAlign w:val="center"/>
          </w:tcPr>
          <w:p w14:paraId="4810C41C" w14:textId="77777777" w:rsidR="00491598" w:rsidRDefault="00997E2F" w:rsidP="0002583C">
            <w:pPr>
              <w:jc w:val="center"/>
              <w:rPr>
                <w:rFonts w:ascii="Arial" w:hAnsi="Arial" w:cs="Arial"/>
                <w:sz w:val="20"/>
                <w:szCs w:val="20"/>
              </w:rPr>
            </w:pPr>
            <w:r>
              <w:rPr>
                <w:rFonts w:ascii="Arial" w:hAnsi="Arial" w:cs="Arial"/>
                <w:sz w:val="20"/>
                <w:szCs w:val="20"/>
              </w:rPr>
              <w:t>0,001</w:t>
            </w:r>
          </w:p>
          <w:p w14:paraId="5B6A55C8" w14:textId="4CBA5F0B" w:rsidR="00997E2F" w:rsidRDefault="0097513B" w:rsidP="0002583C">
            <w:pPr>
              <w:jc w:val="center"/>
              <w:rPr>
                <w:rFonts w:ascii="Arial" w:hAnsi="Arial" w:cs="Arial"/>
                <w:sz w:val="20"/>
                <w:szCs w:val="20"/>
              </w:rPr>
            </w:pPr>
            <w:r>
              <w:rPr>
                <w:rFonts w:ascii="Arial" w:hAnsi="Arial" w:cs="Arial"/>
                <w:sz w:val="20"/>
                <w:szCs w:val="20"/>
              </w:rPr>
              <w:t>[</w:t>
            </w:r>
            <w:r w:rsidR="00F61637">
              <w:rPr>
                <w:rFonts w:ascii="Arial" w:hAnsi="Arial" w:cs="Arial"/>
                <w:sz w:val="20"/>
                <w:szCs w:val="20"/>
              </w:rPr>
              <w:t>0,0737</w:t>
            </w:r>
            <w:r>
              <w:rPr>
                <w:rFonts w:ascii="Arial" w:hAnsi="Arial" w:cs="Arial"/>
                <w:sz w:val="20"/>
                <w:szCs w:val="20"/>
              </w:rPr>
              <w:t>]</w:t>
            </w:r>
          </w:p>
          <w:p w14:paraId="7D16B719" w14:textId="3329889A" w:rsidR="00997E2F" w:rsidRPr="002D0203" w:rsidRDefault="00997E2F" w:rsidP="0002583C">
            <w:pPr>
              <w:jc w:val="center"/>
              <w:rPr>
                <w:rFonts w:ascii="Arial" w:hAnsi="Arial" w:cs="Arial"/>
                <w:sz w:val="20"/>
                <w:szCs w:val="20"/>
              </w:rPr>
            </w:pPr>
          </w:p>
        </w:tc>
        <w:tc>
          <w:tcPr>
            <w:tcW w:w="1355" w:type="dxa"/>
            <w:vAlign w:val="center"/>
          </w:tcPr>
          <w:p w14:paraId="7EE7A347" w14:textId="77777777" w:rsidR="00491598" w:rsidRDefault="00997E2F" w:rsidP="0002583C">
            <w:pPr>
              <w:jc w:val="center"/>
              <w:rPr>
                <w:rFonts w:ascii="Arial" w:hAnsi="Arial" w:cs="Arial"/>
                <w:sz w:val="20"/>
                <w:szCs w:val="20"/>
              </w:rPr>
            </w:pPr>
            <w:r>
              <w:rPr>
                <w:rFonts w:ascii="Arial" w:hAnsi="Arial" w:cs="Arial"/>
                <w:sz w:val="20"/>
                <w:szCs w:val="20"/>
              </w:rPr>
              <w:t>- 0,002</w:t>
            </w:r>
          </w:p>
          <w:p w14:paraId="109D4CD0" w14:textId="510717C8"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- 0,1141</w:t>
            </w:r>
            <w:r>
              <w:rPr>
                <w:rFonts w:ascii="Arial" w:hAnsi="Arial" w:cs="Arial"/>
                <w:sz w:val="20"/>
                <w:szCs w:val="20"/>
              </w:rPr>
              <w:t>]</w:t>
            </w:r>
          </w:p>
          <w:p w14:paraId="705FAECF" w14:textId="0A022DA2" w:rsidR="00997E2F" w:rsidRPr="002D0203" w:rsidRDefault="00997E2F" w:rsidP="0002583C">
            <w:pPr>
              <w:jc w:val="center"/>
              <w:rPr>
                <w:rFonts w:ascii="Arial" w:hAnsi="Arial" w:cs="Arial"/>
                <w:sz w:val="20"/>
                <w:szCs w:val="20"/>
              </w:rPr>
            </w:pPr>
          </w:p>
        </w:tc>
        <w:tc>
          <w:tcPr>
            <w:tcW w:w="1355" w:type="dxa"/>
            <w:vAlign w:val="center"/>
          </w:tcPr>
          <w:p w14:paraId="313E33B4" w14:textId="77777777" w:rsidR="00491598" w:rsidRDefault="00997E2F" w:rsidP="0002583C">
            <w:pPr>
              <w:jc w:val="center"/>
              <w:rPr>
                <w:rFonts w:ascii="Arial" w:hAnsi="Arial" w:cs="Arial"/>
                <w:sz w:val="20"/>
                <w:szCs w:val="20"/>
              </w:rPr>
            </w:pPr>
            <w:r>
              <w:rPr>
                <w:rFonts w:ascii="Arial" w:hAnsi="Arial" w:cs="Arial"/>
                <w:sz w:val="20"/>
                <w:szCs w:val="20"/>
              </w:rPr>
              <w:t>- 0,008</w:t>
            </w:r>
          </w:p>
          <w:p w14:paraId="741C9253" w14:textId="56D6A4C9"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- 0,5534</w:t>
            </w:r>
            <w:r>
              <w:rPr>
                <w:rFonts w:ascii="Arial" w:hAnsi="Arial" w:cs="Arial"/>
                <w:sz w:val="20"/>
                <w:szCs w:val="20"/>
              </w:rPr>
              <w:t>]</w:t>
            </w:r>
          </w:p>
          <w:p w14:paraId="610A78BC" w14:textId="6BE610BA" w:rsidR="00997E2F" w:rsidRPr="002D0203" w:rsidRDefault="00997E2F" w:rsidP="0002583C">
            <w:pPr>
              <w:jc w:val="center"/>
              <w:rPr>
                <w:rFonts w:ascii="Arial" w:hAnsi="Arial" w:cs="Arial"/>
                <w:sz w:val="20"/>
                <w:szCs w:val="20"/>
              </w:rPr>
            </w:pPr>
          </w:p>
        </w:tc>
        <w:tc>
          <w:tcPr>
            <w:tcW w:w="1356" w:type="dxa"/>
            <w:vAlign w:val="center"/>
          </w:tcPr>
          <w:p w14:paraId="0AFBA57F" w14:textId="77777777" w:rsidR="00491598" w:rsidRDefault="00997E2F" w:rsidP="0002583C">
            <w:pPr>
              <w:jc w:val="center"/>
              <w:rPr>
                <w:rFonts w:ascii="Arial" w:hAnsi="Arial" w:cs="Arial"/>
                <w:sz w:val="20"/>
                <w:szCs w:val="20"/>
              </w:rPr>
            </w:pPr>
            <w:r>
              <w:rPr>
                <w:rFonts w:ascii="Arial" w:hAnsi="Arial" w:cs="Arial"/>
                <w:sz w:val="20"/>
                <w:szCs w:val="20"/>
              </w:rPr>
              <w:t>0,000</w:t>
            </w:r>
          </w:p>
          <w:p w14:paraId="7CE57CE0" w14:textId="5BBECAE5" w:rsidR="00997E2F" w:rsidRDefault="0097513B" w:rsidP="0002583C">
            <w:pPr>
              <w:jc w:val="center"/>
              <w:rPr>
                <w:rFonts w:ascii="Arial" w:hAnsi="Arial" w:cs="Arial"/>
                <w:sz w:val="20"/>
                <w:szCs w:val="20"/>
              </w:rPr>
            </w:pPr>
            <w:r>
              <w:rPr>
                <w:rFonts w:ascii="Arial" w:hAnsi="Arial" w:cs="Arial"/>
                <w:sz w:val="20"/>
                <w:szCs w:val="20"/>
              </w:rPr>
              <w:t>[</w:t>
            </w:r>
            <w:r w:rsidR="00997E2F">
              <w:rPr>
                <w:rFonts w:ascii="Arial" w:hAnsi="Arial" w:cs="Arial"/>
                <w:sz w:val="20"/>
                <w:szCs w:val="20"/>
              </w:rPr>
              <w:t>0,</w:t>
            </w:r>
            <w:r w:rsidR="00E4323A">
              <w:rPr>
                <w:rFonts w:ascii="Arial" w:hAnsi="Arial" w:cs="Arial"/>
                <w:sz w:val="20"/>
                <w:szCs w:val="20"/>
              </w:rPr>
              <w:t>0256</w:t>
            </w:r>
            <w:r>
              <w:rPr>
                <w:rFonts w:ascii="Arial" w:hAnsi="Arial" w:cs="Arial"/>
                <w:sz w:val="20"/>
                <w:szCs w:val="20"/>
              </w:rPr>
              <w:t>]</w:t>
            </w:r>
          </w:p>
          <w:p w14:paraId="5F8011F4" w14:textId="0860994B" w:rsidR="00997E2F" w:rsidRPr="002D0203" w:rsidRDefault="00997E2F" w:rsidP="0002583C">
            <w:pPr>
              <w:jc w:val="center"/>
              <w:rPr>
                <w:rFonts w:ascii="Arial" w:hAnsi="Arial" w:cs="Arial"/>
                <w:sz w:val="20"/>
                <w:szCs w:val="20"/>
              </w:rPr>
            </w:pPr>
          </w:p>
        </w:tc>
        <w:tc>
          <w:tcPr>
            <w:tcW w:w="1547" w:type="dxa"/>
            <w:vAlign w:val="center"/>
          </w:tcPr>
          <w:p w14:paraId="1E74D188" w14:textId="77777777" w:rsidR="00491598" w:rsidRDefault="00F65856" w:rsidP="0002583C">
            <w:pPr>
              <w:jc w:val="center"/>
              <w:rPr>
                <w:rFonts w:ascii="Arial" w:hAnsi="Arial" w:cs="Arial"/>
                <w:sz w:val="20"/>
                <w:szCs w:val="20"/>
              </w:rPr>
            </w:pPr>
            <w:r>
              <w:rPr>
                <w:rFonts w:ascii="Arial" w:hAnsi="Arial" w:cs="Arial"/>
                <w:sz w:val="20"/>
                <w:szCs w:val="20"/>
              </w:rPr>
              <w:t>- 0,012</w:t>
            </w:r>
          </w:p>
          <w:p w14:paraId="62C008D9" w14:textId="17C30396"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- 0,8287</w:t>
            </w:r>
            <w:r>
              <w:rPr>
                <w:rFonts w:ascii="Arial" w:hAnsi="Arial" w:cs="Arial"/>
                <w:sz w:val="20"/>
                <w:szCs w:val="20"/>
              </w:rPr>
              <w:t>]</w:t>
            </w:r>
          </w:p>
          <w:p w14:paraId="0AA3FD64" w14:textId="44754AB6" w:rsidR="00F65856" w:rsidRPr="002D0203" w:rsidRDefault="00F65856" w:rsidP="0002583C">
            <w:pPr>
              <w:jc w:val="center"/>
              <w:rPr>
                <w:rFonts w:ascii="Arial" w:hAnsi="Arial" w:cs="Arial"/>
                <w:sz w:val="20"/>
                <w:szCs w:val="20"/>
              </w:rPr>
            </w:pPr>
          </w:p>
        </w:tc>
      </w:tr>
      <w:tr w:rsidR="00491598" w14:paraId="3E46A071" w14:textId="77777777" w:rsidTr="0002583C">
        <w:tc>
          <w:tcPr>
            <w:tcW w:w="1520" w:type="dxa"/>
            <w:vAlign w:val="center"/>
          </w:tcPr>
          <w:p w14:paraId="3DA280D2"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MI</w:t>
            </w:r>
          </w:p>
        </w:tc>
        <w:tc>
          <w:tcPr>
            <w:tcW w:w="1355" w:type="dxa"/>
            <w:vAlign w:val="center"/>
          </w:tcPr>
          <w:p w14:paraId="3FA24C5B" w14:textId="77777777" w:rsidR="00491598" w:rsidRDefault="00997E2F" w:rsidP="0002583C">
            <w:pPr>
              <w:jc w:val="center"/>
              <w:rPr>
                <w:rFonts w:ascii="Arial" w:hAnsi="Arial" w:cs="Arial"/>
                <w:sz w:val="20"/>
                <w:szCs w:val="20"/>
              </w:rPr>
            </w:pPr>
            <w:r>
              <w:rPr>
                <w:rFonts w:ascii="Arial" w:hAnsi="Arial" w:cs="Arial"/>
                <w:sz w:val="20"/>
                <w:szCs w:val="20"/>
              </w:rPr>
              <w:t>0,007</w:t>
            </w:r>
          </w:p>
          <w:p w14:paraId="4D0ECB07" w14:textId="10433584"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3,2619</w:t>
            </w:r>
            <w:r>
              <w:rPr>
                <w:rFonts w:ascii="Arial" w:hAnsi="Arial" w:cs="Arial"/>
                <w:sz w:val="20"/>
                <w:szCs w:val="20"/>
              </w:rPr>
              <w:t>]</w:t>
            </w:r>
            <w:r w:rsidR="00997E2F" w:rsidRPr="00997E2F">
              <w:rPr>
                <w:rFonts w:ascii="Arial" w:hAnsi="Arial" w:cs="Arial"/>
                <w:sz w:val="20"/>
                <w:szCs w:val="20"/>
                <w:vertAlign w:val="superscript"/>
              </w:rPr>
              <w:t>(a)</w:t>
            </w:r>
          </w:p>
          <w:p w14:paraId="75E9C781" w14:textId="008D7003" w:rsidR="00997E2F" w:rsidRPr="002D0203" w:rsidRDefault="00997E2F" w:rsidP="0002583C">
            <w:pPr>
              <w:jc w:val="center"/>
              <w:rPr>
                <w:rFonts w:ascii="Arial" w:hAnsi="Arial" w:cs="Arial"/>
                <w:sz w:val="20"/>
                <w:szCs w:val="20"/>
              </w:rPr>
            </w:pPr>
          </w:p>
        </w:tc>
        <w:tc>
          <w:tcPr>
            <w:tcW w:w="1355" w:type="dxa"/>
            <w:vAlign w:val="center"/>
          </w:tcPr>
          <w:p w14:paraId="6C7CD9B9" w14:textId="77777777" w:rsidR="00491598" w:rsidRDefault="00997E2F" w:rsidP="0002583C">
            <w:pPr>
              <w:jc w:val="center"/>
              <w:rPr>
                <w:rFonts w:ascii="Arial" w:hAnsi="Arial" w:cs="Arial"/>
                <w:sz w:val="20"/>
                <w:szCs w:val="20"/>
              </w:rPr>
            </w:pPr>
            <w:r>
              <w:rPr>
                <w:rFonts w:ascii="Arial" w:hAnsi="Arial" w:cs="Arial"/>
                <w:sz w:val="20"/>
                <w:szCs w:val="20"/>
              </w:rPr>
              <w:t>0,008</w:t>
            </w:r>
          </w:p>
          <w:p w14:paraId="461B3059" w14:textId="371CED9B"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3,4785</w:t>
            </w:r>
            <w:r>
              <w:rPr>
                <w:rFonts w:ascii="Arial" w:hAnsi="Arial" w:cs="Arial"/>
                <w:sz w:val="20"/>
                <w:szCs w:val="20"/>
              </w:rPr>
              <w:t>]</w:t>
            </w:r>
            <w:r w:rsidR="00997E2F" w:rsidRPr="00997E2F">
              <w:rPr>
                <w:rFonts w:ascii="Arial" w:hAnsi="Arial" w:cs="Arial"/>
                <w:sz w:val="20"/>
                <w:szCs w:val="20"/>
                <w:vertAlign w:val="superscript"/>
              </w:rPr>
              <w:t>(a)</w:t>
            </w:r>
          </w:p>
          <w:p w14:paraId="55D69485" w14:textId="2490124F" w:rsidR="00997E2F" w:rsidRPr="002D0203" w:rsidRDefault="00997E2F" w:rsidP="0002583C">
            <w:pPr>
              <w:jc w:val="center"/>
              <w:rPr>
                <w:rFonts w:ascii="Arial" w:hAnsi="Arial" w:cs="Arial"/>
                <w:sz w:val="20"/>
                <w:szCs w:val="20"/>
              </w:rPr>
            </w:pPr>
          </w:p>
        </w:tc>
        <w:tc>
          <w:tcPr>
            <w:tcW w:w="1355" w:type="dxa"/>
            <w:vAlign w:val="center"/>
          </w:tcPr>
          <w:p w14:paraId="454E68F9" w14:textId="77777777" w:rsidR="00491598" w:rsidRDefault="00997E2F" w:rsidP="0002583C">
            <w:pPr>
              <w:jc w:val="center"/>
              <w:rPr>
                <w:rFonts w:ascii="Arial" w:hAnsi="Arial" w:cs="Arial"/>
                <w:sz w:val="20"/>
                <w:szCs w:val="20"/>
              </w:rPr>
            </w:pPr>
            <w:r>
              <w:rPr>
                <w:rFonts w:ascii="Arial" w:hAnsi="Arial" w:cs="Arial"/>
                <w:sz w:val="20"/>
                <w:szCs w:val="20"/>
              </w:rPr>
              <w:t>0,008</w:t>
            </w:r>
          </w:p>
          <w:p w14:paraId="08BCE3C8" w14:textId="45D4DC7A"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3,6692</w:t>
            </w:r>
            <w:r>
              <w:rPr>
                <w:rFonts w:ascii="Arial" w:hAnsi="Arial" w:cs="Arial"/>
                <w:sz w:val="20"/>
                <w:szCs w:val="20"/>
              </w:rPr>
              <w:t>]</w:t>
            </w:r>
            <w:r w:rsidR="00997E2F" w:rsidRPr="00997E2F">
              <w:rPr>
                <w:rFonts w:ascii="Arial" w:hAnsi="Arial" w:cs="Arial"/>
                <w:sz w:val="20"/>
                <w:szCs w:val="20"/>
                <w:vertAlign w:val="superscript"/>
              </w:rPr>
              <w:t>(a)</w:t>
            </w:r>
          </w:p>
          <w:p w14:paraId="4C2B3E73" w14:textId="1A31EF7A" w:rsidR="00997E2F" w:rsidRPr="002D0203" w:rsidRDefault="00997E2F" w:rsidP="0002583C">
            <w:pPr>
              <w:jc w:val="center"/>
              <w:rPr>
                <w:rFonts w:ascii="Arial" w:hAnsi="Arial" w:cs="Arial"/>
                <w:sz w:val="20"/>
                <w:szCs w:val="20"/>
              </w:rPr>
            </w:pPr>
          </w:p>
        </w:tc>
        <w:tc>
          <w:tcPr>
            <w:tcW w:w="1356" w:type="dxa"/>
            <w:vAlign w:val="center"/>
          </w:tcPr>
          <w:p w14:paraId="3F94F18C" w14:textId="77777777" w:rsidR="00491598" w:rsidRDefault="00997E2F" w:rsidP="0002583C">
            <w:pPr>
              <w:jc w:val="center"/>
              <w:rPr>
                <w:rFonts w:ascii="Arial" w:hAnsi="Arial" w:cs="Arial"/>
                <w:sz w:val="20"/>
                <w:szCs w:val="20"/>
              </w:rPr>
            </w:pPr>
            <w:r>
              <w:rPr>
                <w:rFonts w:ascii="Arial" w:hAnsi="Arial" w:cs="Arial"/>
                <w:sz w:val="20"/>
                <w:szCs w:val="20"/>
              </w:rPr>
              <w:t>0,007</w:t>
            </w:r>
          </w:p>
          <w:p w14:paraId="0C18B3D2" w14:textId="32EF8D16"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3,2743</w:t>
            </w:r>
            <w:r>
              <w:rPr>
                <w:rFonts w:ascii="Arial" w:hAnsi="Arial" w:cs="Arial"/>
                <w:sz w:val="20"/>
                <w:szCs w:val="20"/>
              </w:rPr>
              <w:t>]</w:t>
            </w:r>
            <w:r w:rsidR="00997E2F" w:rsidRPr="00997E2F">
              <w:rPr>
                <w:rFonts w:ascii="Arial" w:hAnsi="Arial" w:cs="Arial"/>
                <w:sz w:val="20"/>
                <w:szCs w:val="20"/>
                <w:vertAlign w:val="superscript"/>
              </w:rPr>
              <w:t>(</w:t>
            </w:r>
            <w:r w:rsidR="00E4323A">
              <w:rPr>
                <w:rFonts w:ascii="Arial" w:hAnsi="Arial" w:cs="Arial"/>
                <w:sz w:val="20"/>
                <w:szCs w:val="20"/>
                <w:vertAlign w:val="superscript"/>
              </w:rPr>
              <w:t>a</w:t>
            </w:r>
            <w:r w:rsidR="00997E2F" w:rsidRPr="00997E2F">
              <w:rPr>
                <w:rFonts w:ascii="Arial" w:hAnsi="Arial" w:cs="Arial"/>
                <w:sz w:val="20"/>
                <w:szCs w:val="20"/>
                <w:vertAlign w:val="superscript"/>
              </w:rPr>
              <w:t>)</w:t>
            </w:r>
          </w:p>
          <w:p w14:paraId="394D83AA" w14:textId="4D9C9BFA" w:rsidR="00997E2F" w:rsidRPr="002D0203" w:rsidRDefault="00997E2F" w:rsidP="0002583C">
            <w:pPr>
              <w:jc w:val="center"/>
              <w:rPr>
                <w:rFonts w:ascii="Arial" w:hAnsi="Arial" w:cs="Arial"/>
                <w:sz w:val="20"/>
                <w:szCs w:val="20"/>
              </w:rPr>
            </w:pPr>
          </w:p>
        </w:tc>
        <w:tc>
          <w:tcPr>
            <w:tcW w:w="1547" w:type="dxa"/>
            <w:vAlign w:val="center"/>
          </w:tcPr>
          <w:p w14:paraId="054BBE5B" w14:textId="77777777" w:rsidR="00491598" w:rsidRDefault="00F65856" w:rsidP="0002583C">
            <w:pPr>
              <w:jc w:val="center"/>
              <w:rPr>
                <w:rFonts w:ascii="Arial" w:hAnsi="Arial" w:cs="Arial"/>
                <w:sz w:val="20"/>
                <w:szCs w:val="20"/>
              </w:rPr>
            </w:pPr>
            <w:r>
              <w:rPr>
                <w:rFonts w:ascii="Arial" w:hAnsi="Arial" w:cs="Arial"/>
                <w:sz w:val="20"/>
                <w:szCs w:val="20"/>
              </w:rPr>
              <w:t>0,009</w:t>
            </w:r>
          </w:p>
          <w:p w14:paraId="69969D38" w14:textId="5E5E4997"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3,8888</w:t>
            </w:r>
            <w:r>
              <w:rPr>
                <w:rFonts w:ascii="Arial" w:hAnsi="Arial" w:cs="Arial"/>
                <w:sz w:val="20"/>
                <w:szCs w:val="20"/>
              </w:rPr>
              <w:t>]</w:t>
            </w:r>
            <w:r w:rsidR="00F65856" w:rsidRPr="00F65856">
              <w:rPr>
                <w:rFonts w:ascii="Arial" w:hAnsi="Arial" w:cs="Arial"/>
                <w:sz w:val="20"/>
                <w:szCs w:val="20"/>
                <w:vertAlign w:val="superscript"/>
              </w:rPr>
              <w:t>(a)</w:t>
            </w:r>
          </w:p>
          <w:p w14:paraId="2FA73FC8" w14:textId="3A1598E0" w:rsidR="00F65856" w:rsidRPr="002D0203" w:rsidRDefault="00F65856" w:rsidP="0002583C">
            <w:pPr>
              <w:jc w:val="center"/>
              <w:rPr>
                <w:rFonts w:ascii="Arial" w:hAnsi="Arial" w:cs="Arial"/>
                <w:sz w:val="20"/>
                <w:szCs w:val="20"/>
              </w:rPr>
            </w:pPr>
          </w:p>
        </w:tc>
      </w:tr>
      <w:tr w:rsidR="00491598" w14:paraId="61C95D14" w14:textId="77777777" w:rsidTr="0002583C">
        <w:tc>
          <w:tcPr>
            <w:tcW w:w="1520" w:type="dxa"/>
            <w:vAlign w:val="center"/>
          </w:tcPr>
          <w:p w14:paraId="3685DF26" w14:textId="77777777" w:rsidR="00491598" w:rsidRPr="002D0203" w:rsidRDefault="00491598" w:rsidP="0002583C">
            <w:pPr>
              <w:spacing w:line="360" w:lineRule="auto"/>
              <w:jc w:val="both"/>
              <w:rPr>
                <w:rFonts w:ascii="Arial" w:hAnsi="Arial" w:cs="Arial"/>
                <w:sz w:val="20"/>
                <w:szCs w:val="20"/>
              </w:rPr>
            </w:pPr>
            <w:r w:rsidRPr="002D0203">
              <w:rPr>
                <w:rFonts w:ascii="Arial" w:hAnsi="Arial" w:cs="Arial"/>
                <w:sz w:val="20"/>
                <w:szCs w:val="20"/>
              </w:rPr>
              <w:t>Hom</w:t>
            </w:r>
          </w:p>
        </w:tc>
        <w:tc>
          <w:tcPr>
            <w:tcW w:w="1355" w:type="dxa"/>
            <w:vAlign w:val="center"/>
          </w:tcPr>
          <w:p w14:paraId="5F8E7CD4" w14:textId="77777777" w:rsidR="00491598" w:rsidRDefault="00997E2F" w:rsidP="0002583C">
            <w:pPr>
              <w:jc w:val="center"/>
              <w:rPr>
                <w:rFonts w:ascii="Arial" w:hAnsi="Arial" w:cs="Arial"/>
                <w:sz w:val="20"/>
                <w:szCs w:val="20"/>
              </w:rPr>
            </w:pPr>
            <w:r>
              <w:rPr>
                <w:rFonts w:ascii="Arial" w:hAnsi="Arial" w:cs="Arial"/>
                <w:sz w:val="20"/>
                <w:szCs w:val="20"/>
              </w:rPr>
              <w:t>0,000</w:t>
            </w:r>
          </w:p>
          <w:p w14:paraId="579420FB" w14:textId="66132155" w:rsidR="00997E2F" w:rsidRDefault="0097513B" w:rsidP="0002583C">
            <w:pPr>
              <w:jc w:val="center"/>
              <w:rPr>
                <w:rFonts w:ascii="Arial" w:hAnsi="Arial" w:cs="Arial"/>
                <w:sz w:val="20"/>
                <w:szCs w:val="20"/>
              </w:rPr>
            </w:pPr>
            <w:r>
              <w:rPr>
                <w:rFonts w:ascii="Arial" w:hAnsi="Arial" w:cs="Arial"/>
                <w:sz w:val="20"/>
                <w:szCs w:val="20"/>
              </w:rPr>
              <w:t>[</w:t>
            </w:r>
            <w:r w:rsidR="00997E2F">
              <w:rPr>
                <w:rFonts w:ascii="Arial" w:hAnsi="Arial" w:cs="Arial"/>
                <w:sz w:val="20"/>
                <w:szCs w:val="20"/>
              </w:rPr>
              <w:t>0,</w:t>
            </w:r>
            <w:r w:rsidR="00E4323A">
              <w:rPr>
                <w:rFonts w:ascii="Arial" w:hAnsi="Arial" w:cs="Arial"/>
                <w:sz w:val="20"/>
                <w:szCs w:val="20"/>
              </w:rPr>
              <w:t>0828</w:t>
            </w:r>
            <w:r>
              <w:rPr>
                <w:rFonts w:ascii="Arial" w:hAnsi="Arial" w:cs="Arial"/>
                <w:sz w:val="20"/>
                <w:szCs w:val="20"/>
              </w:rPr>
              <w:t>]</w:t>
            </w:r>
          </w:p>
          <w:p w14:paraId="7BE82DB1" w14:textId="62BBBED0" w:rsidR="00997E2F" w:rsidRPr="002D0203" w:rsidRDefault="00997E2F" w:rsidP="0002583C">
            <w:pPr>
              <w:jc w:val="center"/>
              <w:rPr>
                <w:rFonts w:ascii="Arial" w:hAnsi="Arial" w:cs="Arial"/>
                <w:sz w:val="20"/>
                <w:szCs w:val="20"/>
              </w:rPr>
            </w:pPr>
          </w:p>
        </w:tc>
        <w:tc>
          <w:tcPr>
            <w:tcW w:w="1355" w:type="dxa"/>
            <w:vAlign w:val="center"/>
          </w:tcPr>
          <w:p w14:paraId="6E2F1D12" w14:textId="77777777" w:rsidR="00491598" w:rsidRDefault="00997E2F" w:rsidP="0002583C">
            <w:pPr>
              <w:jc w:val="center"/>
              <w:rPr>
                <w:rFonts w:ascii="Arial" w:hAnsi="Arial" w:cs="Arial"/>
                <w:sz w:val="20"/>
                <w:szCs w:val="20"/>
              </w:rPr>
            </w:pPr>
            <w:r>
              <w:rPr>
                <w:rFonts w:ascii="Arial" w:hAnsi="Arial" w:cs="Arial"/>
                <w:sz w:val="20"/>
                <w:szCs w:val="20"/>
              </w:rPr>
              <w:t>0,000</w:t>
            </w:r>
          </w:p>
          <w:p w14:paraId="2E0B96F8" w14:textId="5A6CF95F"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0,1388</w:t>
            </w:r>
            <w:r>
              <w:rPr>
                <w:rFonts w:ascii="Arial" w:hAnsi="Arial" w:cs="Arial"/>
                <w:sz w:val="20"/>
                <w:szCs w:val="20"/>
              </w:rPr>
              <w:t>]</w:t>
            </w:r>
          </w:p>
          <w:p w14:paraId="7A0D524D" w14:textId="13B551B0" w:rsidR="00997E2F" w:rsidRPr="002D0203" w:rsidRDefault="00997E2F" w:rsidP="0002583C">
            <w:pPr>
              <w:jc w:val="center"/>
              <w:rPr>
                <w:rFonts w:ascii="Arial" w:hAnsi="Arial" w:cs="Arial"/>
                <w:sz w:val="20"/>
                <w:szCs w:val="20"/>
              </w:rPr>
            </w:pPr>
          </w:p>
        </w:tc>
        <w:tc>
          <w:tcPr>
            <w:tcW w:w="1355" w:type="dxa"/>
            <w:vAlign w:val="center"/>
          </w:tcPr>
          <w:p w14:paraId="2D441367" w14:textId="77777777" w:rsidR="00491598" w:rsidRDefault="00997E2F" w:rsidP="0002583C">
            <w:pPr>
              <w:jc w:val="center"/>
              <w:rPr>
                <w:rFonts w:ascii="Arial" w:hAnsi="Arial" w:cs="Arial"/>
                <w:sz w:val="20"/>
                <w:szCs w:val="20"/>
              </w:rPr>
            </w:pPr>
            <w:r>
              <w:rPr>
                <w:rFonts w:ascii="Arial" w:hAnsi="Arial" w:cs="Arial"/>
                <w:sz w:val="20"/>
                <w:szCs w:val="20"/>
              </w:rPr>
              <w:t>- 0,002</w:t>
            </w:r>
          </w:p>
          <w:p w14:paraId="30183E8E" w14:textId="28C84A14" w:rsidR="00997E2F" w:rsidRDefault="0097513B" w:rsidP="0002583C">
            <w:pPr>
              <w:jc w:val="center"/>
              <w:rPr>
                <w:rFonts w:ascii="Arial" w:hAnsi="Arial" w:cs="Arial"/>
                <w:sz w:val="20"/>
                <w:szCs w:val="20"/>
              </w:rPr>
            </w:pPr>
            <w:r>
              <w:rPr>
                <w:rFonts w:ascii="Arial" w:hAnsi="Arial" w:cs="Arial"/>
                <w:sz w:val="20"/>
                <w:szCs w:val="20"/>
              </w:rPr>
              <w:t>[</w:t>
            </w:r>
            <w:r w:rsidR="00E4323A">
              <w:rPr>
                <w:rFonts w:ascii="Arial" w:hAnsi="Arial" w:cs="Arial"/>
                <w:sz w:val="20"/>
                <w:szCs w:val="20"/>
              </w:rPr>
              <w:t>- 1,0673</w:t>
            </w:r>
            <w:r>
              <w:rPr>
                <w:rFonts w:ascii="Arial" w:hAnsi="Arial" w:cs="Arial"/>
                <w:sz w:val="20"/>
                <w:szCs w:val="20"/>
              </w:rPr>
              <w:t>]</w:t>
            </w:r>
          </w:p>
          <w:p w14:paraId="119A4D85" w14:textId="1B769AAA" w:rsidR="00997E2F" w:rsidRPr="002D0203" w:rsidRDefault="00997E2F" w:rsidP="0002583C">
            <w:pPr>
              <w:jc w:val="center"/>
              <w:rPr>
                <w:rFonts w:ascii="Arial" w:hAnsi="Arial" w:cs="Arial"/>
                <w:sz w:val="20"/>
                <w:szCs w:val="20"/>
              </w:rPr>
            </w:pPr>
          </w:p>
        </w:tc>
        <w:tc>
          <w:tcPr>
            <w:tcW w:w="1356" w:type="dxa"/>
            <w:vAlign w:val="center"/>
          </w:tcPr>
          <w:p w14:paraId="36332D16" w14:textId="77777777" w:rsidR="00491598" w:rsidRDefault="00997E2F" w:rsidP="0002583C">
            <w:pPr>
              <w:jc w:val="center"/>
              <w:rPr>
                <w:rFonts w:ascii="Arial" w:hAnsi="Arial" w:cs="Arial"/>
                <w:sz w:val="20"/>
                <w:szCs w:val="20"/>
              </w:rPr>
            </w:pPr>
            <w:r>
              <w:rPr>
                <w:rFonts w:ascii="Arial" w:hAnsi="Arial" w:cs="Arial"/>
                <w:sz w:val="20"/>
                <w:szCs w:val="20"/>
              </w:rPr>
              <w:t>0,000</w:t>
            </w:r>
          </w:p>
          <w:p w14:paraId="52BD5C1B" w14:textId="61D064CB" w:rsidR="00997E2F" w:rsidRDefault="0097513B" w:rsidP="0002583C">
            <w:pPr>
              <w:jc w:val="center"/>
              <w:rPr>
                <w:rFonts w:ascii="Arial" w:hAnsi="Arial" w:cs="Arial"/>
                <w:sz w:val="20"/>
                <w:szCs w:val="20"/>
              </w:rPr>
            </w:pPr>
            <w:r>
              <w:rPr>
                <w:rFonts w:ascii="Arial" w:hAnsi="Arial" w:cs="Arial"/>
                <w:sz w:val="20"/>
                <w:szCs w:val="20"/>
              </w:rPr>
              <w:t>[</w:t>
            </w:r>
            <w:r w:rsidR="00997E2F">
              <w:rPr>
                <w:rFonts w:ascii="Arial" w:hAnsi="Arial" w:cs="Arial"/>
                <w:sz w:val="20"/>
                <w:szCs w:val="20"/>
              </w:rPr>
              <w:t>0,</w:t>
            </w:r>
            <w:r w:rsidR="00E4323A">
              <w:rPr>
                <w:rFonts w:ascii="Arial" w:hAnsi="Arial" w:cs="Arial"/>
                <w:sz w:val="20"/>
                <w:szCs w:val="20"/>
              </w:rPr>
              <w:t>2567</w:t>
            </w:r>
            <w:r>
              <w:rPr>
                <w:rFonts w:ascii="Arial" w:hAnsi="Arial" w:cs="Arial"/>
                <w:sz w:val="20"/>
                <w:szCs w:val="20"/>
              </w:rPr>
              <w:t>]</w:t>
            </w:r>
          </w:p>
          <w:p w14:paraId="6A0623D2" w14:textId="308AAA8B" w:rsidR="00997E2F" w:rsidRPr="002D0203" w:rsidRDefault="00997E2F" w:rsidP="0002583C">
            <w:pPr>
              <w:jc w:val="center"/>
              <w:rPr>
                <w:rFonts w:ascii="Arial" w:hAnsi="Arial" w:cs="Arial"/>
                <w:sz w:val="20"/>
                <w:szCs w:val="20"/>
              </w:rPr>
            </w:pPr>
          </w:p>
        </w:tc>
        <w:tc>
          <w:tcPr>
            <w:tcW w:w="1547" w:type="dxa"/>
            <w:vAlign w:val="center"/>
          </w:tcPr>
          <w:p w14:paraId="2481C893" w14:textId="77777777" w:rsidR="00491598" w:rsidRDefault="00F65856" w:rsidP="0002583C">
            <w:pPr>
              <w:jc w:val="center"/>
              <w:rPr>
                <w:rFonts w:ascii="Arial" w:hAnsi="Arial" w:cs="Arial"/>
                <w:sz w:val="20"/>
                <w:szCs w:val="20"/>
              </w:rPr>
            </w:pPr>
            <w:r>
              <w:rPr>
                <w:rFonts w:ascii="Arial" w:hAnsi="Arial" w:cs="Arial"/>
                <w:sz w:val="20"/>
                <w:szCs w:val="20"/>
              </w:rPr>
              <w:t>- 0,003</w:t>
            </w:r>
          </w:p>
          <w:p w14:paraId="798E18A8" w14:textId="299A1502" w:rsidR="00F65856" w:rsidRDefault="0097513B" w:rsidP="0002583C">
            <w:pPr>
              <w:jc w:val="center"/>
              <w:rPr>
                <w:rFonts w:ascii="Arial" w:hAnsi="Arial" w:cs="Arial"/>
                <w:sz w:val="20"/>
                <w:szCs w:val="20"/>
              </w:rPr>
            </w:pPr>
            <w:r>
              <w:rPr>
                <w:rFonts w:ascii="Arial" w:hAnsi="Arial" w:cs="Arial"/>
                <w:sz w:val="20"/>
                <w:szCs w:val="20"/>
              </w:rPr>
              <w:t>[</w:t>
            </w:r>
            <w:r w:rsidR="00EF5633">
              <w:rPr>
                <w:rFonts w:ascii="Arial" w:hAnsi="Arial" w:cs="Arial"/>
                <w:sz w:val="20"/>
                <w:szCs w:val="20"/>
              </w:rPr>
              <w:t>- 1,8170</w:t>
            </w:r>
            <w:r>
              <w:rPr>
                <w:rFonts w:ascii="Arial" w:hAnsi="Arial" w:cs="Arial"/>
                <w:sz w:val="20"/>
                <w:szCs w:val="20"/>
              </w:rPr>
              <w:t>]</w:t>
            </w:r>
            <w:r w:rsidR="00F65856" w:rsidRPr="00F65856">
              <w:rPr>
                <w:rFonts w:ascii="Arial" w:hAnsi="Arial" w:cs="Arial"/>
                <w:sz w:val="20"/>
                <w:szCs w:val="20"/>
                <w:vertAlign w:val="superscript"/>
              </w:rPr>
              <w:t>(c)</w:t>
            </w:r>
          </w:p>
          <w:p w14:paraId="024D1272" w14:textId="0B593D37" w:rsidR="00F65856" w:rsidRPr="002D0203" w:rsidRDefault="00F65856" w:rsidP="0002583C">
            <w:pPr>
              <w:jc w:val="center"/>
              <w:rPr>
                <w:rFonts w:ascii="Arial" w:hAnsi="Arial" w:cs="Arial"/>
                <w:sz w:val="20"/>
                <w:szCs w:val="20"/>
              </w:rPr>
            </w:pPr>
          </w:p>
        </w:tc>
      </w:tr>
      <w:tr w:rsidR="00491598" w14:paraId="4FA3C9C6" w14:textId="77777777" w:rsidTr="0002583C">
        <w:tc>
          <w:tcPr>
            <w:tcW w:w="1520" w:type="dxa"/>
            <w:vAlign w:val="center"/>
          </w:tcPr>
          <w:p w14:paraId="0504B4EB" w14:textId="6E1A590E" w:rsidR="00491598" w:rsidRPr="002D0203" w:rsidRDefault="00997E2F" w:rsidP="0002583C">
            <w:pPr>
              <w:spacing w:line="360" w:lineRule="auto"/>
              <w:jc w:val="both"/>
              <w:rPr>
                <w:rFonts w:ascii="Arial" w:hAnsi="Arial" w:cs="Arial"/>
                <w:sz w:val="20"/>
                <w:szCs w:val="20"/>
              </w:rPr>
            </w:pPr>
            <w:r>
              <w:rPr>
                <w:rFonts w:ascii="Arial" w:hAnsi="Arial" w:cs="Arial"/>
                <w:sz w:val="20"/>
                <w:szCs w:val="20"/>
              </w:rPr>
              <w:t>ES</w:t>
            </w:r>
            <w:r w:rsidR="00491598">
              <w:rPr>
                <w:rFonts w:ascii="Arial" w:hAnsi="Arial" w:cs="Arial"/>
                <w:sz w:val="20"/>
                <w:szCs w:val="20"/>
              </w:rPr>
              <w:t xml:space="preserve"> – C</w:t>
            </w:r>
          </w:p>
        </w:tc>
        <w:tc>
          <w:tcPr>
            <w:tcW w:w="1355" w:type="dxa"/>
            <w:vAlign w:val="center"/>
          </w:tcPr>
          <w:p w14:paraId="70B28AD2" w14:textId="77777777" w:rsidR="00491598" w:rsidRDefault="00997E2F" w:rsidP="0002583C">
            <w:pPr>
              <w:jc w:val="center"/>
              <w:rPr>
                <w:rFonts w:ascii="Arial" w:hAnsi="Arial" w:cs="Arial"/>
                <w:sz w:val="20"/>
                <w:szCs w:val="20"/>
              </w:rPr>
            </w:pPr>
            <w:r>
              <w:rPr>
                <w:rFonts w:ascii="Arial" w:hAnsi="Arial" w:cs="Arial"/>
                <w:sz w:val="20"/>
                <w:szCs w:val="20"/>
              </w:rPr>
              <w:t>0,112</w:t>
            </w:r>
          </w:p>
          <w:p w14:paraId="4DC70DED" w14:textId="581675D0" w:rsidR="00997E2F" w:rsidRDefault="00997E2F" w:rsidP="0002583C">
            <w:pPr>
              <w:jc w:val="center"/>
              <w:rPr>
                <w:rFonts w:ascii="Arial" w:hAnsi="Arial" w:cs="Arial"/>
                <w:sz w:val="20"/>
                <w:szCs w:val="20"/>
              </w:rPr>
            </w:pPr>
          </w:p>
        </w:tc>
        <w:tc>
          <w:tcPr>
            <w:tcW w:w="1355" w:type="dxa"/>
            <w:vAlign w:val="center"/>
          </w:tcPr>
          <w:p w14:paraId="15786389" w14:textId="77777777" w:rsidR="00491598" w:rsidRDefault="00997E2F" w:rsidP="0002583C">
            <w:pPr>
              <w:jc w:val="center"/>
              <w:rPr>
                <w:rFonts w:ascii="Arial" w:hAnsi="Arial" w:cs="Arial"/>
                <w:sz w:val="20"/>
                <w:szCs w:val="20"/>
              </w:rPr>
            </w:pPr>
            <w:r>
              <w:rPr>
                <w:rFonts w:ascii="Arial" w:hAnsi="Arial" w:cs="Arial"/>
                <w:sz w:val="20"/>
                <w:szCs w:val="20"/>
              </w:rPr>
              <w:t>- 0,189</w:t>
            </w:r>
          </w:p>
          <w:p w14:paraId="636CDB9B" w14:textId="37B4283C" w:rsidR="00997E2F" w:rsidRPr="002D0203" w:rsidRDefault="00997E2F" w:rsidP="0002583C">
            <w:pPr>
              <w:jc w:val="center"/>
              <w:rPr>
                <w:rFonts w:ascii="Arial" w:hAnsi="Arial" w:cs="Arial"/>
                <w:sz w:val="20"/>
                <w:szCs w:val="20"/>
              </w:rPr>
            </w:pPr>
          </w:p>
        </w:tc>
        <w:tc>
          <w:tcPr>
            <w:tcW w:w="1355" w:type="dxa"/>
            <w:vAlign w:val="center"/>
          </w:tcPr>
          <w:p w14:paraId="0DBF3B98" w14:textId="77777777" w:rsidR="00491598" w:rsidRDefault="00997E2F" w:rsidP="0002583C">
            <w:pPr>
              <w:jc w:val="center"/>
              <w:rPr>
                <w:rFonts w:ascii="Arial" w:hAnsi="Arial" w:cs="Arial"/>
                <w:sz w:val="20"/>
                <w:szCs w:val="20"/>
              </w:rPr>
            </w:pPr>
            <w:r>
              <w:rPr>
                <w:rFonts w:ascii="Arial" w:hAnsi="Arial" w:cs="Arial"/>
                <w:sz w:val="20"/>
                <w:szCs w:val="20"/>
              </w:rPr>
              <w:t>0,106</w:t>
            </w:r>
          </w:p>
          <w:p w14:paraId="28FE6FEE" w14:textId="56296973" w:rsidR="00997E2F" w:rsidRPr="002D0203" w:rsidRDefault="00997E2F" w:rsidP="0002583C">
            <w:pPr>
              <w:jc w:val="center"/>
              <w:rPr>
                <w:rFonts w:ascii="Arial" w:hAnsi="Arial" w:cs="Arial"/>
                <w:sz w:val="20"/>
                <w:szCs w:val="20"/>
              </w:rPr>
            </w:pPr>
          </w:p>
        </w:tc>
        <w:tc>
          <w:tcPr>
            <w:tcW w:w="1356" w:type="dxa"/>
            <w:vAlign w:val="center"/>
          </w:tcPr>
          <w:p w14:paraId="77B1964E" w14:textId="77777777" w:rsidR="00491598" w:rsidRDefault="00997E2F" w:rsidP="0002583C">
            <w:pPr>
              <w:jc w:val="center"/>
              <w:rPr>
                <w:rFonts w:ascii="Arial" w:hAnsi="Arial" w:cs="Arial"/>
                <w:sz w:val="20"/>
                <w:szCs w:val="20"/>
              </w:rPr>
            </w:pPr>
            <w:r>
              <w:rPr>
                <w:rFonts w:ascii="Arial" w:hAnsi="Arial" w:cs="Arial"/>
                <w:sz w:val="20"/>
                <w:szCs w:val="20"/>
              </w:rPr>
              <w:t>- 0,059</w:t>
            </w:r>
          </w:p>
          <w:p w14:paraId="06002E0E" w14:textId="13E29D19" w:rsidR="00997E2F" w:rsidRPr="002D0203" w:rsidRDefault="00997E2F" w:rsidP="0002583C">
            <w:pPr>
              <w:jc w:val="center"/>
              <w:rPr>
                <w:rFonts w:ascii="Arial" w:hAnsi="Arial" w:cs="Arial"/>
                <w:sz w:val="20"/>
                <w:szCs w:val="20"/>
              </w:rPr>
            </w:pPr>
          </w:p>
        </w:tc>
        <w:tc>
          <w:tcPr>
            <w:tcW w:w="1547" w:type="dxa"/>
            <w:vAlign w:val="center"/>
          </w:tcPr>
          <w:p w14:paraId="0CAA40DA" w14:textId="77777777" w:rsidR="00491598" w:rsidRDefault="00F65856" w:rsidP="0002583C">
            <w:pPr>
              <w:jc w:val="center"/>
              <w:rPr>
                <w:rFonts w:ascii="Arial" w:hAnsi="Arial" w:cs="Arial"/>
                <w:sz w:val="20"/>
                <w:szCs w:val="20"/>
              </w:rPr>
            </w:pPr>
            <w:r>
              <w:rPr>
                <w:rFonts w:ascii="Arial" w:hAnsi="Arial" w:cs="Arial"/>
                <w:sz w:val="20"/>
                <w:szCs w:val="20"/>
              </w:rPr>
              <w:t>0,387</w:t>
            </w:r>
          </w:p>
          <w:p w14:paraId="4E5FE367" w14:textId="08E3225F" w:rsidR="00F65856" w:rsidRPr="002D0203" w:rsidRDefault="00F65856" w:rsidP="0002583C">
            <w:pPr>
              <w:jc w:val="center"/>
              <w:rPr>
                <w:rFonts w:ascii="Arial" w:hAnsi="Arial" w:cs="Arial"/>
                <w:sz w:val="20"/>
                <w:szCs w:val="20"/>
              </w:rPr>
            </w:pPr>
          </w:p>
        </w:tc>
      </w:tr>
      <w:tr w:rsidR="00491598" w14:paraId="139D2F59" w14:textId="77777777" w:rsidTr="0002583C">
        <w:tc>
          <w:tcPr>
            <w:tcW w:w="1520" w:type="dxa"/>
            <w:vAlign w:val="center"/>
          </w:tcPr>
          <w:p w14:paraId="59808539" w14:textId="20A331E9" w:rsidR="00491598" w:rsidRPr="002D0203" w:rsidRDefault="00997E2F" w:rsidP="0002583C">
            <w:pPr>
              <w:spacing w:line="360" w:lineRule="auto"/>
              <w:jc w:val="both"/>
              <w:rPr>
                <w:rFonts w:ascii="Arial" w:hAnsi="Arial" w:cs="Arial"/>
                <w:sz w:val="20"/>
                <w:szCs w:val="20"/>
              </w:rPr>
            </w:pPr>
            <w:r>
              <w:rPr>
                <w:rFonts w:ascii="Arial" w:hAnsi="Arial" w:cs="Arial"/>
                <w:sz w:val="20"/>
                <w:szCs w:val="20"/>
              </w:rPr>
              <w:t>MG</w:t>
            </w:r>
            <w:r w:rsidR="00491598">
              <w:rPr>
                <w:rFonts w:ascii="Arial" w:hAnsi="Arial" w:cs="Arial"/>
                <w:sz w:val="20"/>
                <w:szCs w:val="20"/>
              </w:rPr>
              <w:t xml:space="preserve"> – C</w:t>
            </w:r>
          </w:p>
        </w:tc>
        <w:tc>
          <w:tcPr>
            <w:tcW w:w="1355" w:type="dxa"/>
            <w:vAlign w:val="center"/>
          </w:tcPr>
          <w:p w14:paraId="4834F832" w14:textId="77777777" w:rsidR="00491598" w:rsidRDefault="00997E2F" w:rsidP="0002583C">
            <w:pPr>
              <w:jc w:val="center"/>
              <w:rPr>
                <w:rFonts w:ascii="Arial" w:hAnsi="Arial" w:cs="Arial"/>
                <w:sz w:val="20"/>
                <w:szCs w:val="20"/>
              </w:rPr>
            </w:pPr>
            <w:r>
              <w:rPr>
                <w:rFonts w:ascii="Arial" w:hAnsi="Arial" w:cs="Arial"/>
                <w:sz w:val="20"/>
                <w:szCs w:val="20"/>
              </w:rPr>
              <w:t>- 0,002</w:t>
            </w:r>
          </w:p>
          <w:p w14:paraId="03D556A5" w14:textId="3B04F4ED" w:rsidR="00997E2F" w:rsidRDefault="00997E2F" w:rsidP="0002583C">
            <w:pPr>
              <w:jc w:val="center"/>
              <w:rPr>
                <w:rFonts w:ascii="Arial" w:hAnsi="Arial" w:cs="Arial"/>
                <w:sz w:val="20"/>
                <w:szCs w:val="20"/>
              </w:rPr>
            </w:pPr>
          </w:p>
        </w:tc>
        <w:tc>
          <w:tcPr>
            <w:tcW w:w="1355" w:type="dxa"/>
            <w:vAlign w:val="center"/>
          </w:tcPr>
          <w:p w14:paraId="608CD984" w14:textId="77777777" w:rsidR="00491598" w:rsidRDefault="00997E2F" w:rsidP="0002583C">
            <w:pPr>
              <w:jc w:val="center"/>
              <w:rPr>
                <w:rFonts w:ascii="Arial" w:hAnsi="Arial" w:cs="Arial"/>
                <w:sz w:val="20"/>
                <w:szCs w:val="20"/>
              </w:rPr>
            </w:pPr>
            <w:r>
              <w:rPr>
                <w:rFonts w:ascii="Arial" w:hAnsi="Arial" w:cs="Arial"/>
                <w:sz w:val="20"/>
                <w:szCs w:val="20"/>
              </w:rPr>
              <w:t>- 0,87</w:t>
            </w:r>
          </w:p>
          <w:p w14:paraId="32BC9B3A" w14:textId="5C4BBC8A" w:rsidR="00997E2F" w:rsidRPr="002D0203" w:rsidRDefault="00997E2F" w:rsidP="0002583C">
            <w:pPr>
              <w:jc w:val="center"/>
              <w:rPr>
                <w:rFonts w:ascii="Arial" w:hAnsi="Arial" w:cs="Arial"/>
                <w:sz w:val="20"/>
                <w:szCs w:val="20"/>
              </w:rPr>
            </w:pPr>
          </w:p>
        </w:tc>
        <w:tc>
          <w:tcPr>
            <w:tcW w:w="1355" w:type="dxa"/>
            <w:vAlign w:val="center"/>
          </w:tcPr>
          <w:p w14:paraId="60E8A676" w14:textId="77777777" w:rsidR="00491598" w:rsidRDefault="00997E2F" w:rsidP="0002583C">
            <w:pPr>
              <w:jc w:val="center"/>
              <w:rPr>
                <w:rFonts w:ascii="Arial" w:hAnsi="Arial" w:cs="Arial"/>
                <w:sz w:val="20"/>
                <w:szCs w:val="20"/>
              </w:rPr>
            </w:pPr>
            <w:r>
              <w:rPr>
                <w:rFonts w:ascii="Arial" w:hAnsi="Arial" w:cs="Arial"/>
                <w:sz w:val="20"/>
                <w:szCs w:val="20"/>
              </w:rPr>
              <w:t>- 0,043</w:t>
            </w:r>
          </w:p>
          <w:p w14:paraId="5A7A1A0D" w14:textId="3D3622FA" w:rsidR="00997E2F" w:rsidRPr="002D0203" w:rsidRDefault="00997E2F" w:rsidP="0002583C">
            <w:pPr>
              <w:jc w:val="center"/>
              <w:rPr>
                <w:rFonts w:ascii="Arial" w:hAnsi="Arial" w:cs="Arial"/>
                <w:sz w:val="20"/>
                <w:szCs w:val="20"/>
              </w:rPr>
            </w:pPr>
          </w:p>
        </w:tc>
        <w:tc>
          <w:tcPr>
            <w:tcW w:w="1356" w:type="dxa"/>
            <w:vAlign w:val="center"/>
          </w:tcPr>
          <w:p w14:paraId="2773D30A" w14:textId="77777777" w:rsidR="00491598" w:rsidRDefault="00997E2F" w:rsidP="0002583C">
            <w:pPr>
              <w:jc w:val="center"/>
              <w:rPr>
                <w:rFonts w:ascii="Arial" w:hAnsi="Arial" w:cs="Arial"/>
                <w:sz w:val="20"/>
                <w:szCs w:val="20"/>
              </w:rPr>
            </w:pPr>
            <w:r>
              <w:rPr>
                <w:rFonts w:ascii="Arial" w:hAnsi="Arial" w:cs="Arial"/>
                <w:sz w:val="20"/>
                <w:szCs w:val="20"/>
              </w:rPr>
              <w:t>- 0,052</w:t>
            </w:r>
          </w:p>
          <w:p w14:paraId="3B9AD548" w14:textId="7E413AA5" w:rsidR="00997E2F" w:rsidRPr="002D0203" w:rsidRDefault="00997E2F" w:rsidP="0002583C">
            <w:pPr>
              <w:jc w:val="center"/>
              <w:rPr>
                <w:rFonts w:ascii="Arial" w:hAnsi="Arial" w:cs="Arial"/>
                <w:sz w:val="20"/>
                <w:szCs w:val="20"/>
              </w:rPr>
            </w:pPr>
          </w:p>
        </w:tc>
        <w:tc>
          <w:tcPr>
            <w:tcW w:w="1547" w:type="dxa"/>
            <w:vAlign w:val="center"/>
          </w:tcPr>
          <w:p w14:paraId="3565C0E9" w14:textId="77777777" w:rsidR="00491598" w:rsidRDefault="00F65856" w:rsidP="0002583C">
            <w:pPr>
              <w:jc w:val="center"/>
              <w:rPr>
                <w:rFonts w:ascii="Arial" w:hAnsi="Arial" w:cs="Arial"/>
                <w:sz w:val="20"/>
                <w:szCs w:val="20"/>
              </w:rPr>
            </w:pPr>
            <w:r>
              <w:rPr>
                <w:rFonts w:ascii="Arial" w:hAnsi="Arial" w:cs="Arial"/>
                <w:sz w:val="20"/>
                <w:szCs w:val="20"/>
              </w:rPr>
              <w:t>0,032</w:t>
            </w:r>
          </w:p>
          <w:p w14:paraId="79357A2E" w14:textId="2C6B8F50" w:rsidR="00F65856" w:rsidRPr="002D0203" w:rsidRDefault="00F65856" w:rsidP="0002583C">
            <w:pPr>
              <w:jc w:val="center"/>
              <w:rPr>
                <w:rFonts w:ascii="Arial" w:hAnsi="Arial" w:cs="Arial"/>
                <w:sz w:val="20"/>
                <w:szCs w:val="20"/>
              </w:rPr>
            </w:pPr>
          </w:p>
        </w:tc>
      </w:tr>
      <w:tr w:rsidR="00491598" w14:paraId="17BED69C" w14:textId="77777777" w:rsidTr="0002583C">
        <w:tc>
          <w:tcPr>
            <w:tcW w:w="1520" w:type="dxa"/>
            <w:vAlign w:val="center"/>
          </w:tcPr>
          <w:p w14:paraId="102E2DE5" w14:textId="53885B72" w:rsidR="00491598" w:rsidRPr="002D0203" w:rsidRDefault="00997E2F" w:rsidP="0002583C">
            <w:pPr>
              <w:spacing w:line="360" w:lineRule="auto"/>
              <w:jc w:val="both"/>
              <w:rPr>
                <w:rFonts w:ascii="Arial" w:hAnsi="Arial" w:cs="Arial"/>
                <w:sz w:val="20"/>
                <w:szCs w:val="20"/>
              </w:rPr>
            </w:pPr>
            <w:r>
              <w:rPr>
                <w:rFonts w:ascii="Arial" w:hAnsi="Arial" w:cs="Arial"/>
                <w:sz w:val="20"/>
                <w:szCs w:val="20"/>
              </w:rPr>
              <w:t>SP</w:t>
            </w:r>
            <w:r w:rsidR="00491598">
              <w:rPr>
                <w:rFonts w:ascii="Arial" w:hAnsi="Arial" w:cs="Arial"/>
                <w:sz w:val="20"/>
                <w:szCs w:val="20"/>
              </w:rPr>
              <w:t xml:space="preserve"> – C</w:t>
            </w:r>
          </w:p>
        </w:tc>
        <w:tc>
          <w:tcPr>
            <w:tcW w:w="1355" w:type="dxa"/>
            <w:vAlign w:val="center"/>
          </w:tcPr>
          <w:p w14:paraId="6BEC9616" w14:textId="77777777" w:rsidR="00491598" w:rsidRDefault="00997E2F" w:rsidP="0002583C">
            <w:pPr>
              <w:jc w:val="center"/>
              <w:rPr>
                <w:rFonts w:ascii="Arial" w:hAnsi="Arial" w:cs="Arial"/>
                <w:sz w:val="20"/>
                <w:szCs w:val="20"/>
              </w:rPr>
            </w:pPr>
            <w:r>
              <w:rPr>
                <w:rFonts w:ascii="Arial" w:hAnsi="Arial" w:cs="Arial"/>
                <w:sz w:val="20"/>
                <w:szCs w:val="20"/>
              </w:rPr>
              <w:t>0,038</w:t>
            </w:r>
          </w:p>
          <w:p w14:paraId="55754D79" w14:textId="0BB9A49B" w:rsidR="00997E2F" w:rsidRDefault="00997E2F" w:rsidP="0002583C">
            <w:pPr>
              <w:jc w:val="center"/>
              <w:rPr>
                <w:rFonts w:ascii="Arial" w:hAnsi="Arial" w:cs="Arial"/>
                <w:sz w:val="20"/>
                <w:szCs w:val="20"/>
              </w:rPr>
            </w:pPr>
          </w:p>
        </w:tc>
        <w:tc>
          <w:tcPr>
            <w:tcW w:w="1355" w:type="dxa"/>
            <w:vAlign w:val="center"/>
          </w:tcPr>
          <w:p w14:paraId="0D84C37B" w14:textId="77777777" w:rsidR="00491598" w:rsidRDefault="00997E2F" w:rsidP="0002583C">
            <w:pPr>
              <w:jc w:val="center"/>
              <w:rPr>
                <w:rFonts w:ascii="Arial" w:hAnsi="Arial" w:cs="Arial"/>
                <w:sz w:val="20"/>
                <w:szCs w:val="20"/>
              </w:rPr>
            </w:pPr>
            <w:r>
              <w:rPr>
                <w:rFonts w:ascii="Arial" w:hAnsi="Arial" w:cs="Arial"/>
                <w:sz w:val="20"/>
                <w:szCs w:val="20"/>
              </w:rPr>
              <w:t>- 0,071</w:t>
            </w:r>
          </w:p>
          <w:p w14:paraId="3430ECD3" w14:textId="60007B3D" w:rsidR="00997E2F" w:rsidRPr="002D0203" w:rsidRDefault="00997E2F" w:rsidP="0002583C">
            <w:pPr>
              <w:jc w:val="center"/>
              <w:rPr>
                <w:rFonts w:ascii="Arial" w:hAnsi="Arial" w:cs="Arial"/>
                <w:sz w:val="20"/>
                <w:szCs w:val="20"/>
              </w:rPr>
            </w:pPr>
          </w:p>
        </w:tc>
        <w:tc>
          <w:tcPr>
            <w:tcW w:w="1355" w:type="dxa"/>
            <w:vAlign w:val="center"/>
          </w:tcPr>
          <w:p w14:paraId="13C28094" w14:textId="77777777" w:rsidR="00491598" w:rsidRDefault="00997E2F" w:rsidP="0002583C">
            <w:pPr>
              <w:jc w:val="center"/>
              <w:rPr>
                <w:rFonts w:ascii="Arial" w:hAnsi="Arial" w:cs="Arial"/>
                <w:sz w:val="20"/>
                <w:szCs w:val="20"/>
              </w:rPr>
            </w:pPr>
            <w:r>
              <w:rPr>
                <w:rFonts w:ascii="Arial" w:hAnsi="Arial" w:cs="Arial"/>
                <w:sz w:val="20"/>
                <w:szCs w:val="20"/>
              </w:rPr>
              <w:t>0,051</w:t>
            </w:r>
          </w:p>
          <w:p w14:paraId="41C22BAD" w14:textId="1677FA1A" w:rsidR="00997E2F" w:rsidRPr="002D0203" w:rsidRDefault="00997E2F" w:rsidP="0002583C">
            <w:pPr>
              <w:jc w:val="center"/>
              <w:rPr>
                <w:rFonts w:ascii="Arial" w:hAnsi="Arial" w:cs="Arial"/>
                <w:sz w:val="20"/>
                <w:szCs w:val="20"/>
              </w:rPr>
            </w:pPr>
          </w:p>
        </w:tc>
        <w:tc>
          <w:tcPr>
            <w:tcW w:w="1356" w:type="dxa"/>
            <w:vAlign w:val="center"/>
          </w:tcPr>
          <w:p w14:paraId="790D7962" w14:textId="77777777" w:rsidR="00491598" w:rsidRDefault="00997E2F" w:rsidP="0002583C">
            <w:pPr>
              <w:jc w:val="center"/>
              <w:rPr>
                <w:rFonts w:ascii="Arial" w:hAnsi="Arial" w:cs="Arial"/>
                <w:sz w:val="20"/>
                <w:szCs w:val="20"/>
              </w:rPr>
            </w:pPr>
            <w:r>
              <w:rPr>
                <w:rFonts w:ascii="Arial" w:hAnsi="Arial" w:cs="Arial"/>
                <w:sz w:val="20"/>
                <w:szCs w:val="20"/>
              </w:rPr>
              <w:t>- 0,24</w:t>
            </w:r>
          </w:p>
          <w:p w14:paraId="4B0D3483" w14:textId="49F28CB9" w:rsidR="00997E2F" w:rsidRPr="002D0203" w:rsidRDefault="00997E2F" w:rsidP="0002583C">
            <w:pPr>
              <w:jc w:val="center"/>
              <w:rPr>
                <w:rFonts w:ascii="Arial" w:hAnsi="Arial" w:cs="Arial"/>
                <w:sz w:val="20"/>
                <w:szCs w:val="20"/>
              </w:rPr>
            </w:pPr>
          </w:p>
        </w:tc>
        <w:tc>
          <w:tcPr>
            <w:tcW w:w="1547" w:type="dxa"/>
            <w:vAlign w:val="center"/>
          </w:tcPr>
          <w:p w14:paraId="67BEF7A8" w14:textId="77777777" w:rsidR="00491598" w:rsidRDefault="00F65856" w:rsidP="0002583C">
            <w:pPr>
              <w:jc w:val="center"/>
              <w:rPr>
                <w:rFonts w:ascii="Arial" w:hAnsi="Arial" w:cs="Arial"/>
                <w:sz w:val="20"/>
                <w:szCs w:val="20"/>
              </w:rPr>
            </w:pPr>
            <w:r>
              <w:rPr>
                <w:rFonts w:ascii="Arial" w:hAnsi="Arial" w:cs="Arial"/>
                <w:sz w:val="20"/>
                <w:szCs w:val="20"/>
              </w:rPr>
              <w:t>0,154</w:t>
            </w:r>
          </w:p>
          <w:p w14:paraId="4288DE24" w14:textId="5E185D45" w:rsidR="00F65856" w:rsidRPr="002D0203" w:rsidRDefault="00F65856" w:rsidP="0002583C">
            <w:pPr>
              <w:jc w:val="center"/>
              <w:rPr>
                <w:rFonts w:ascii="Arial" w:hAnsi="Arial" w:cs="Arial"/>
                <w:sz w:val="20"/>
                <w:szCs w:val="20"/>
              </w:rPr>
            </w:pPr>
          </w:p>
        </w:tc>
      </w:tr>
      <w:tr w:rsidR="00491598" w14:paraId="1AE452F8" w14:textId="77777777" w:rsidTr="0002583C">
        <w:tc>
          <w:tcPr>
            <w:tcW w:w="1520" w:type="dxa"/>
            <w:vAlign w:val="center"/>
          </w:tcPr>
          <w:p w14:paraId="0F3BD5BF" w14:textId="30263EED" w:rsidR="00491598" w:rsidRDefault="00997E2F" w:rsidP="0002583C">
            <w:pPr>
              <w:spacing w:line="360" w:lineRule="auto"/>
              <w:jc w:val="both"/>
              <w:rPr>
                <w:rFonts w:ascii="Arial" w:hAnsi="Arial" w:cs="Arial"/>
                <w:sz w:val="20"/>
                <w:szCs w:val="20"/>
              </w:rPr>
            </w:pPr>
            <w:r>
              <w:rPr>
                <w:rFonts w:ascii="Arial" w:hAnsi="Arial" w:cs="Arial"/>
                <w:sz w:val="20"/>
                <w:szCs w:val="20"/>
              </w:rPr>
              <w:t>RJ</w:t>
            </w:r>
            <w:r w:rsidR="00491598">
              <w:rPr>
                <w:rFonts w:ascii="Arial" w:hAnsi="Arial" w:cs="Arial"/>
                <w:sz w:val="20"/>
                <w:szCs w:val="20"/>
              </w:rPr>
              <w:t xml:space="preserve"> – C</w:t>
            </w:r>
          </w:p>
        </w:tc>
        <w:tc>
          <w:tcPr>
            <w:tcW w:w="1355" w:type="dxa"/>
            <w:vAlign w:val="center"/>
          </w:tcPr>
          <w:p w14:paraId="4451D898" w14:textId="77777777" w:rsidR="00491598" w:rsidRDefault="00997E2F" w:rsidP="0002583C">
            <w:pPr>
              <w:jc w:val="center"/>
              <w:rPr>
                <w:rFonts w:ascii="Arial" w:hAnsi="Arial" w:cs="Arial"/>
                <w:sz w:val="20"/>
                <w:szCs w:val="20"/>
              </w:rPr>
            </w:pPr>
            <w:r>
              <w:rPr>
                <w:rFonts w:ascii="Arial" w:hAnsi="Arial" w:cs="Arial"/>
                <w:sz w:val="20"/>
                <w:szCs w:val="20"/>
              </w:rPr>
              <w:t>- 0,148</w:t>
            </w:r>
          </w:p>
          <w:p w14:paraId="2B807577" w14:textId="3F192FF6" w:rsidR="00997E2F" w:rsidRDefault="00997E2F" w:rsidP="0002583C">
            <w:pPr>
              <w:jc w:val="center"/>
              <w:rPr>
                <w:rFonts w:ascii="Arial" w:hAnsi="Arial" w:cs="Arial"/>
                <w:sz w:val="20"/>
                <w:szCs w:val="20"/>
              </w:rPr>
            </w:pPr>
          </w:p>
        </w:tc>
        <w:tc>
          <w:tcPr>
            <w:tcW w:w="1355" w:type="dxa"/>
            <w:vAlign w:val="center"/>
          </w:tcPr>
          <w:p w14:paraId="5D99C314" w14:textId="77777777" w:rsidR="00491598" w:rsidRDefault="00997E2F" w:rsidP="0002583C">
            <w:pPr>
              <w:jc w:val="center"/>
              <w:rPr>
                <w:rFonts w:ascii="Arial" w:hAnsi="Arial" w:cs="Arial"/>
                <w:sz w:val="20"/>
                <w:szCs w:val="20"/>
              </w:rPr>
            </w:pPr>
            <w:r>
              <w:rPr>
                <w:rFonts w:ascii="Arial" w:hAnsi="Arial" w:cs="Arial"/>
                <w:sz w:val="20"/>
                <w:szCs w:val="20"/>
              </w:rPr>
              <w:t>0,346</w:t>
            </w:r>
          </w:p>
          <w:p w14:paraId="47A08B6F" w14:textId="67A91BBB" w:rsidR="00997E2F" w:rsidRPr="002D0203" w:rsidRDefault="00997E2F" w:rsidP="0002583C">
            <w:pPr>
              <w:jc w:val="center"/>
              <w:rPr>
                <w:rFonts w:ascii="Arial" w:hAnsi="Arial" w:cs="Arial"/>
                <w:sz w:val="20"/>
                <w:szCs w:val="20"/>
              </w:rPr>
            </w:pPr>
          </w:p>
        </w:tc>
        <w:tc>
          <w:tcPr>
            <w:tcW w:w="1355" w:type="dxa"/>
            <w:vAlign w:val="center"/>
          </w:tcPr>
          <w:p w14:paraId="13CE7F4F" w14:textId="77777777" w:rsidR="00491598" w:rsidRDefault="00997E2F" w:rsidP="0002583C">
            <w:pPr>
              <w:jc w:val="center"/>
              <w:rPr>
                <w:rFonts w:ascii="Arial" w:hAnsi="Arial" w:cs="Arial"/>
                <w:sz w:val="20"/>
                <w:szCs w:val="20"/>
              </w:rPr>
            </w:pPr>
            <w:r>
              <w:rPr>
                <w:rFonts w:ascii="Arial" w:hAnsi="Arial" w:cs="Arial"/>
                <w:sz w:val="20"/>
                <w:szCs w:val="20"/>
              </w:rPr>
              <w:t>- 0,114</w:t>
            </w:r>
          </w:p>
          <w:p w14:paraId="4D0E553E" w14:textId="26728E6C" w:rsidR="00997E2F" w:rsidRPr="002D0203" w:rsidRDefault="00997E2F" w:rsidP="0002583C">
            <w:pPr>
              <w:jc w:val="center"/>
              <w:rPr>
                <w:rFonts w:ascii="Arial" w:hAnsi="Arial" w:cs="Arial"/>
                <w:sz w:val="20"/>
                <w:szCs w:val="20"/>
              </w:rPr>
            </w:pPr>
          </w:p>
        </w:tc>
        <w:tc>
          <w:tcPr>
            <w:tcW w:w="1356" w:type="dxa"/>
            <w:vAlign w:val="center"/>
          </w:tcPr>
          <w:p w14:paraId="3A62A415" w14:textId="77777777" w:rsidR="00491598" w:rsidRDefault="00F65856" w:rsidP="0002583C">
            <w:pPr>
              <w:jc w:val="center"/>
              <w:rPr>
                <w:rFonts w:ascii="Arial" w:hAnsi="Arial" w:cs="Arial"/>
                <w:sz w:val="20"/>
                <w:szCs w:val="20"/>
              </w:rPr>
            </w:pPr>
            <w:r>
              <w:rPr>
                <w:rFonts w:ascii="Arial" w:hAnsi="Arial" w:cs="Arial"/>
                <w:sz w:val="20"/>
                <w:szCs w:val="20"/>
              </w:rPr>
              <w:t>0,135</w:t>
            </w:r>
          </w:p>
          <w:p w14:paraId="39ED2490" w14:textId="4CECFAE9" w:rsidR="00F65856" w:rsidRPr="002D0203" w:rsidRDefault="00F65856" w:rsidP="0002583C">
            <w:pPr>
              <w:jc w:val="center"/>
              <w:rPr>
                <w:rFonts w:ascii="Arial" w:hAnsi="Arial" w:cs="Arial"/>
                <w:sz w:val="20"/>
                <w:szCs w:val="20"/>
              </w:rPr>
            </w:pPr>
          </w:p>
        </w:tc>
        <w:tc>
          <w:tcPr>
            <w:tcW w:w="1547" w:type="dxa"/>
            <w:vAlign w:val="center"/>
          </w:tcPr>
          <w:p w14:paraId="7DD62207" w14:textId="483C8E96" w:rsidR="00491598" w:rsidRPr="002D0203" w:rsidRDefault="00F65856" w:rsidP="0002583C">
            <w:pPr>
              <w:jc w:val="center"/>
              <w:rPr>
                <w:rFonts w:ascii="Arial" w:hAnsi="Arial" w:cs="Arial"/>
                <w:sz w:val="20"/>
                <w:szCs w:val="20"/>
              </w:rPr>
            </w:pPr>
            <w:r>
              <w:rPr>
                <w:rFonts w:ascii="Arial" w:hAnsi="Arial" w:cs="Arial"/>
                <w:sz w:val="20"/>
                <w:szCs w:val="20"/>
              </w:rPr>
              <w:t>- 0,573</w:t>
            </w:r>
          </w:p>
        </w:tc>
      </w:tr>
      <w:tr w:rsidR="00491598" w14:paraId="65FAF5F5" w14:textId="77777777" w:rsidTr="0002583C">
        <w:tc>
          <w:tcPr>
            <w:tcW w:w="1520" w:type="dxa"/>
            <w:vAlign w:val="center"/>
          </w:tcPr>
          <w:p w14:paraId="539D28E3" w14:textId="77777777" w:rsidR="00491598" w:rsidRDefault="00491598" w:rsidP="0002583C">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p>
        </w:tc>
        <w:tc>
          <w:tcPr>
            <w:tcW w:w="1355" w:type="dxa"/>
            <w:vAlign w:val="center"/>
          </w:tcPr>
          <w:p w14:paraId="154DCFFE" w14:textId="77777777" w:rsidR="00491598" w:rsidRDefault="00997E2F" w:rsidP="0002583C">
            <w:pPr>
              <w:jc w:val="center"/>
              <w:rPr>
                <w:rFonts w:ascii="Arial" w:hAnsi="Arial" w:cs="Arial"/>
                <w:sz w:val="20"/>
                <w:szCs w:val="20"/>
              </w:rPr>
            </w:pPr>
            <w:r>
              <w:rPr>
                <w:rFonts w:ascii="Arial" w:hAnsi="Arial" w:cs="Arial"/>
                <w:sz w:val="20"/>
                <w:szCs w:val="20"/>
              </w:rPr>
              <w:t>0,228</w:t>
            </w:r>
          </w:p>
          <w:p w14:paraId="7918C0CD" w14:textId="6533F513" w:rsidR="00997E2F" w:rsidRDefault="00997E2F" w:rsidP="0002583C">
            <w:pPr>
              <w:jc w:val="center"/>
              <w:rPr>
                <w:rFonts w:ascii="Arial" w:hAnsi="Arial" w:cs="Arial"/>
                <w:sz w:val="20"/>
                <w:szCs w:val="20"/>
              </w:rPr>
            </w:pPr>
          </w:p>
        </w:tc>
        <w:tc>
          <w:tcPr>
            <w:tcW w:w="1355" w:type="dxa"/>
            <w:vAlign w:val="center"/>
          </w:tcPr>
          <w:p w14:paraId="0312ABD0" w14:textId="77777777" w:rsidR="00491598" w:rsidRDefault="00997E2F" w:rsidP="0002583C">
            <w:pPr>
              <w:jc w:val="center"/>
              <w:rPr>
                <w:rFonts w:ascii="Arial" w:hAnsi="Arial" w:cs="Arial"/>
                <w:sz w:val="20"/>
                <w:szCs w:val="20"/>
              </w:rPr>
            </w:pPr>
            <w:r>
              <w:rPr>
                <w:rFonts w:ascii="Arial" w:hAnsi="Arial" w:cs="Arial"/>
                <w:sz w:val="20"/>
                <w:szCs w:val="20"/>
              </w:rPr>
              <w:t>0,238</w:t>
            </w:r>
          </w:p>
          <w:p w14:paraId="10428549" w14:textId="0DAB6371" w:rsidR="00997E2F" w:rsidRPr="002D0203" w:rsidRDefault="00997E2F" w:rsidP="0002583C">
            <w:pPr>
              <w:jc w:val="center"/>
              <w:rPr>
                <w:rFonts w:ascii="Arial" w:hAnsi="Arial" w:cs="Arial"/>
                <w:sz w:val="20"/>
                <w:szCs w:val="20"/>
              </w:rPr>
            </w:pPr>
          </w:p>
        </w:tc>
        <w:tc>
          <w:tcPr>
            <w:tcW w:w="1355" w:type="dxa"/>
            <w:vAlign w:val="center"/>
          </w:tcPr>
          <w:p w14:paraId="062486F1" w14:textId="77777777" w:rsidR="00491598" w:rsidRDefault="00997E2F" w:rsidP="0002583C">
            <w:pPr>
              <w:jc w:val="center"/>
              <w:rPr>
                <w:rFonts w:ascii="Arial" w:hAnsi="Arial" w:cs="Arial"/>
                <w:sz w:val="20"/>
                <w:szCs w:val="20"/>
              </w:rPr>
            </w:pPr>
            <w:r>
              <w:rPr>
                <w:rFonts w:ascii="Arial" w:hAnsi="Arial" w:cs="Arial"/>
                <w:sz w:val="20"/>
                <w:szCs w:val="20"/>
              </w:rPr>
              <w:t>0,284</w:t>
            </w:r>
          </w:p>
          <w:p w14:paraId="13382BDA" w14:textId="6E0D0FD0" w:rsidR="00997E2F" w:rsidRPr="002D0203" w:rsidRDefault="00997E2F" w:rsidP="0002583C">
            <w:pPr>
              <w:jc w:val="center"/>
              <w:rPr>
                <w:rFonts w:ascii="Arial" w:hAnsi="Arial" w:cs="Arial"/>
                <w:sz w:val="20"/>
                <w:szCs w:val="20"/>
              </w:rPr>
            </w:pPr>
          </w:p>
        </w:tc>
        <w:tc>
          <w:tcPr>
            <w:tcW w:w="1356" w:type="dxa"/>
            <w:vAlign w:val="center"/>
          </w:tcPr>
          <w:p w14:paraId="663F1A91" w14:textId="77777777" w:rsidR="00491598" w:rsidRDefault="00F65856" w:rsidP="0002583C">
            <w:pPr>
              <w:jc w:val="center"/>
              <w:rPr>
                <w:rFonts w:ascii="Arial" w:hAnsi="Arial" w:cs="Arial"/>
                <w:sz w:val="20"/>
                <w:szCs w:val="20"/>
              </w:rPr>
            </w:pPr>
            <w:r>
              <w:rPr>
                <w:rFonts w:ascii="Arial" w:hAnsi="Arial" w:cs="Arial"/>
                <w:sz w:val="20"/>
                <w:szCs w:val="20"/>
              </w:rPr>
              <w:t>0,226</w:t>
            </w:r>
          </w:p>
          <w:p w14:paraId="5A93DF79" w14:textId="62DA280B" w:rsidR="00F65856" w:rsidRPr="002D0203" w:rsidRDefault="00F65856" w:rsidP="0002583C">
            <w:pPr>
              <w:jc w:val="center"/>
              <w:rPr>
                <w:rFonts w:ascii="Arial" w:hAnsi="Arial" w:cs="Arial"/>
                <w:sz w:val="20"/>
                <w:szCs w:val="20"/>
              </w:rPr>
            </w:pPr>
          </w:p>
        </w:tc>
        <w:tc>
          <w:tcPr>
            <w:tcW w:w="1547" w:type="dxa"/>
            <w:vAlign w:val="center"/>
          </w:tcPr>
          <w:p w14:paraId="08116FBD" w14:textId="77777777" w:rsidR="00491598" w:rsidRDefault="00F65856" w:rsidP="0002583C">
            <w:pPr>
              <w:jc w:val="center"/>
              <w:rPr>
                <w:rFonts w:ascii="Arial" w:hAnsi="Arial" w:cs="Arial"/>
                <w:sz w:val="20"/>
                <w:szCs w:val="20"/>
              </w:rPr>
            </w:pPr>
            <w:r>
              <w:rPr>
                <w:rFonts w:ascii="Arial" w:hAnsi="Arial" w:cs="Arial"/>
                <w:sz w:val="20"/>
                <w:szCs w:val="20"/>
              </w:rPr>
              <w:t>0,325</w:t>
            </w:r>
          </w:p>
          <w:p w14:paraId="3CD58277" w14:textId="11190640" w:rsidR="00F65856" w:rsidRPr="002D0203" w:rsidRDefault="00F65856" w:rsidP="0002583C">
            <w:pPr>
              <w:jc w:val="center"/>
              <w:rPr>
                <w:rFonts w:ascii="Arial" w:hAnsi="Arial" w:cs="Arial"/>
                <w:sz w:val="20"/>
                <w:szCs w:val="20"/>
              </w:rPr>
            </w:pPr>
          </w:p>
        </w:tc>
      </w:tr>
      <w:tr w:rsidR="00491598" w:rsidRPr="003343E0" w14:paraId="026C80F5" w14:textId="77777777" w:rsidTr="0002583C">
        <w:tc>
          <w:tcPr>
            <w:tcW w:w="1520" w:type="dxa"/>
            <w:vAlign w:val="center"/>
          </w:tcPr>
          <w:p w14:paraId="67BA92F7" w14:textId="77777777" w:rsidR="00491598" w:rsidRPr="003343E0" w:rsidRDefault="00491598" w:rsidP="0002583C">
            <w:pPr>
              <w:spacing w:line="360" w:lineRule="auto"/>
              <w:jc w:val="both"/>
              <w:rPr>
                <w:rFonts w:ascii="Arial" w:hAnsi="Arial" w:cs="Arial"/>
                <w:sz w:val="20"/>
                <w:szCs w:val="20"/>
              </w:rPr>
            </w:pPr>
            <w:r w:rsidRPr="003343E0">
              <w:rPr>
                <w:rFonts w:ascii="Arial" w:hAnsi="Arial" w:cs="Arial"/>
                <w:sz w:val="20"/>
                <w:szCs w:val="20"/>
              </w:rPr>
              <w:t>R</w:t>
            </w:r>
            <w:r w:rsidRPr="003343E0">
              <w:rPr>
                <w:rFonts w:ascii="Arial" w:hAnsi="Arial" w:cs="Arial"/>
                <w:sz w:val="20"/>
                <w:szCs w:val="20"/>
                <w:vertAlign w:val="superscript"/>
              </w:rPr>
              <w:t>2</w:t>
            </w:r>
            <w:r w:rsidRPr="003343E0">
              <w:rPr>
                <w:rFonts w:ascii="Arial" w:hAnsi="Arial" w:cs="Arial"/>
                <w:sz w:val="20"/>
                <w:szCs w:val="20"/>
              </w:rPr>
              <w:t xml:space="preserve"> ajustado</w:t>
            </w:r>
          </w:p>
        </w:tc>
        <w:tc>
          <w:tcPr>
            <w:tcW w:w="1355" w:type="dxa"/>
            <w:vAlign w:val="center"/>
          </w:tcPr>
          <w:p w14:paraId="7BA4FB33" w14:textId="2E076BA2" w:rsidR="00491598" w:rsidRPr="003343E0" w:rsidRDefault="00997E2F" w:rsidP="0002583C">
            <w:pPr>
              <w:jc w:val="center"/>
              <w:rPr>
                <w:rFonts w:ascii="Arial" w:hAnsi="Arial" w:cs="Arial"/>
                <w:sz w:val="20"/>
                <w:szCs w:val="20"/>
              </w:rPr>
            </w:pPr>
            <w:r w:rsidRPr="003343E0">
              <w:rPr>
                <w:rFonts w:ascii="Arial" w:hAnsi="Arial" w:cs="Arial"/>
                <w:sz w:val="20"/>
                <w:szCs w:val="20"/>
              </w:rPr>
              <w:t>0,141</w:t>
            </w:r>
          </w:p>
        </w:tc>
        <w:tc>
          <w:tcPr>
            <w:tcW w:w="1355" w:type="dxa"/>
            <w:vAlign w:val="center"/>
          </w:tcPr>
          <w:p w14:paraId="0345BBD5" w14:textId="5B0B75C0" w:rsidR="00491598" w:rsidRPr="003343E0" w:rsidRDefault="00997E2F" w:rsidP="0002583C">
            <w:pPr>
              <w:jc w:val="center"/>
              <w:rPr>
                <w:rFonts w:ascii="Arial" w:hAnsi="Arial" w:cs="Arial"/>
                <w:sz w:val="20"/>
                <w:szCs w:val="20"/>
              </w:rPr>
            </w:pPr>
            <w:r w:rsidRPr="003343E0">
              <w:rPr>
                <w:rFonts w:ascii="Arial" w:hAnsi="Arial" w:cs="Arial"/>
                <w:sz w:val="20"/>
                <w:szCs w:val="20"/>
              </w:rPr>
              <w:t>0,153</w:t>
            </w:r>
          </w:p>
        </w:tc>
        <w:tc>
          <w:tcPr>
            <w:tcW w:w="1355" w:type="dxa"/>
            <w:vAlign w:val="center"/>
          </w:tcPr>
          <w:p w14:paraId="254387DD" w14:textId="36AF7B86" w:rsidR="00491598" w:rsidRPr="003343E0" w:rsidRDefault="00997E2F" w:rsidP="0002583C">
            <w:pPr>
              <w:jc w:val="center"/>
              <w:rPr>
                <w:rFonts w:ascii="Arial" w:hAnsi="Arial" w:cs="Arial"/>
                <w:sz w:val="20"/>
                <w:szCs w:val="20"/>
              </w:rPr>
            </w:pPr>
            <w:r w:rsidRPr="003343E0">
              <w:rPr>
                <w:rFonts w:ascii="Arial" w:hAnsi="Arial" w:cs="Arial"/>
                <w:sz w:val="20"/>
                <w:szCs w:val="20"/>
              </w:rPr>
              <w:t>0,203</w:t>
            </w:r>
          </w:p>
        </w:tc>
        <w:tc>
          <w:tcPr>
            <w:tcW w:w="1356" w:type="dxa"/>
            <w:vAlign w:val="center"/>
          </w:tcPr>
          <w:p w14:paraId="2ABFE695" w14:textId="2CC8B4BC" w:rsidR="00491598" w:rsidRPr="003343E0" w:rsidRDefault="00F65856" w:rsidP="0002583C">
            <w:pPr>
              <w:jc w:val="center"/>
              <w:rPr>
                <w:rFonts w:ascii="Arial" w:hAnsi="Arial" w:cs="Arial"/>
                <w:sz w:val="20"/>
                <w:szCs w:val="20"/>
              </w:rPr>
            </w:pPr>
            <w:r w:rsidRPr="003343E0">
              <w:rPr>
                <w:rFonts w:ascii="Arial" w:hAnsi="Arial" w:cs="Arial"/>
                <w:sz w:val="20"/>
                <w:szCs w:val="20"/>
              </w:rPr>
              <w:t>0,139</w:t>
            </w:r>
          </w:p>
        </w:tc>
        <w:tc>
          <w:tcPr>
            <w:tcW w:w="1547" w:type="dxa"/>
            <w:vAlign w:val="center"/>
          </w:tcPr>
          <w:p w14:paraId="1EFD9C93" w14:textId="02ADF46E" w:rsidR="00491598" w:rsidRPr="003343E0" w:rsidRDefault="00F65856" w:rsidP="0002583C">
            <w:pPr>
              <w:jc w:val="center"/>
              <w:rPr>
                <w:rFonts w:ascii="Arial" w:hAnsi="Arial" w:cs="Arial"/>
                <w:sz w:val="20"/>
                <w:szCs w:val="20"/>
              </w:rPr>
            </w:pPr>
            <w:r w:rsidRPr="003343E0">
              <w:rPr>
                <w:rFonts w:ascii="Arial" w:hAnsi="Arial" w:cs="Arial"/>
                <w:sz w:val="20"/>
                <w:szCs w:val="20"/>
              </w:rPr>
              <w:t>0,227</w:t>
            </w:r>
          </w:p>
        </w:tc>
      </w:tr>
    </w:tbl>
    <w:p w14:paraId="214DC00B" w14:textId="77777777" w:rsidR="003343E0" w:rsidRPr="00D64A9C" w:rsidRDefault="003343E0" w:rsidP="003343E0">
      <w:pPr>
        <w:jc w:val="both"/>
        <w:rPr>
          <w:rFonts w:ascii="Arial" w:hAnsi="Arial" w:cs="Arial"/>
          <w:sz w:val="20"/>
          <w:szCs w:val="20"/>
        </w:rPr>
      </w:pPr>
      <w:r w:rsidRPr="00D64A9C">
        <w:rPr>
          <w:rFonts w:ascii="Arial" w:hAnsi="Arial" w:cs="Arial"/>
          <w:b/>
          <w:sz w:val="20"/>
          <w:szCs w:val="20"/>
        </w:rPr>
        <w:t>Fonte:</w:t>
      </w:r>
      <w:r w:rsidRPr="00D64A9C">
        <w:rPr>
          <w:rFonts w:ascii="Arial" w:hAnsi="Arial" w:cs="Arial"/>
          <w:sz w:val="20"/>
          <w:szCs w:val="20"/>
        </w:rPr>
        <w:t xml:space="preserve"> elaboração própria. Dados amostrais anuais (ajustados): 1995 2014. Número de observações: 20 depois dos ajustes. Número de cortes transversais: 4. Total de observações (balanceadas): 80</w:t>
      </w:r>
    </w:p>
    <w:p w14:paraId="4EA104D8" w14:textId="3ECD20F7" w:rsidR="00E4323A" w:rsidRPr="00D64A9C" w:rsidRDefault="003343E0" w:rsidP="003343E0">
      <w:pPr>
        <w:jc w:val="both"/>
        <w:rPr>
          <w:rFonts w:ascii="Arial" w:hAnsi="Arial" w:cs="Arial"/>
          <w:sz w:val="20"/>
          <w:szCs w:val="20"/>
        </w:rPr>
      </w:pPr>
      <w:r w:rsidRPr="00D64A9C">
        <w:rPr>
          <w:rFonts w:ascii="Arial" w:hAnsi="Arial" w:cs="Arial"/>
          <w:sz w:val="20"/>
          <w:szCs w:val="20"/>
        </w:rPr>
        <w:t xml:space="preserve"> </w:t>
      </w:r>
      <w:r w:rsidRPr="00D64A9C">
        <w:rPr>
          <w:rFonts w:ascii="Arial" w:hAnsi="Arial" w:cs="Arial"/>
          <w:b/>
          <w:sz w:val="20"/>
          <w:szCs w:val="20"/>
        </w:rPr>
        <w:t>Nota:</w:t>
      </w:r>
      <w:r w:rsidRPr="00D64A9C">
        <w:rPr>
          <w:rFonts w:ascii="Arial" w:hAnsi="Arial" w:cs="Arial"/>
          <w:sz w:val="20"/>
          <w:szCs w:val="20"/>
        </w:rPr>
        <w:t xml:space="preserve"> (a), (b) e (c) indicam que os coeficientes estimados são estatisticamente significantes ou rejeição da hipótese nula ao nível de significância de 1%, 5% e 10%, respectivamente. Os valores em parênteses são as estatísticas </w:t>
      </w:r>
      <w:r w:rsidRPr="00D64A9C">
        <w:rPr>
          <w:rFonts w:ascii="Arial" w:hAnsi="Arial" w:cs="Arial"/>
          <w:i/>
          <w:sz w:val="20"/>
          <w:szCs w:val="20"/>
        </w:rPr>
        <w:t xml:space="preserve">t </w:t>
      </w:r>
      <w:r w:rsidRPr="00D64A9C">
        <w:rPr>
          <w:rFonts w:ascii="Arial" w:hAnsi="Arial" w:cs="Arial"/>
          <w:sz w:val="20"/>
          <w:szCs w:val="20"/>
        </w:rPr>
        <w:t>de Student.</w:t>
      </w:r>
    </w:p>
    <w:p w14:paraId="1DDBB59B" w14:textId="77777777" w:rsidR="004503D5" w:rsidRDefault="004503D5" w:rsidP="00986E56">
      <w:pPr>
        <w:spacing w:line="360" w:lineRule="auto"/>
        <w:rPr>
          <w:rFonts w:ascii="Arial" w:hAnsi="Arial" w:cs="Arial"/>
        </w:rPr>
      </w:pPr>
    </w:p>
    <w:p w14:paraId="72946CA0" w14:textId="77777777" w:rsidR="00CC4899" w:rsidRDefault="004503D5">
      <w:pPr>
        <w:spacing w:line="360" w:lineRule="auto"/>
        <w:jc w:val="both"/>
        <w:rPr>
          <w:rFonts w:ascii="Arial" w:hAnsi="Arial" w:cs="Arial"/>
        </w:rPr>
      </w:pPr>
      <w:r>
        <w:rPr>
          <w:rFonts w:ascii="Arial" w:hAnsi="Arial" w:cs="Arial"/>
        </w:rPr>
        <w:tab/>
      </w:r>
      <w:r w:rsidR="00BF1119">
        <w:rPr>
          <w:rFonts w:ascii="Arial" w:hAnsi="Arial" w:cs="Arial"/>
        </w:rPr>
        <w:t>Na Região Sudeste, diferentemente dos resultados obtidos nas Regiões Centro-Oeste, Norte e Nordeste, o Indicador 3</w:t>
      </w:r>
      <w:r w:rsidR="003D465C">
        <w:rPr>
          <w:rFonts w:ascii="Arial" w:hAnsi="Arial" w:cs="Arial"/>
        </w:rPr>
        <w:t>,</w:t>
      </w:r>
      <w:r w:rsidR="00BF1119">
        <w:rPr>
          <w:rFonts w:ascii="Arial" w:hAnsi="Arial" w:cs="Arial"/>
        </w:rPr>
        <w:t xml:space="preserve"> de autonomia de arrecadação</w:t>
      </w:r>
      <w:r w:rsidR="003D465C">
        <w:rPr>
          <w:rFonts w:ascii="Arial" w:hAnsi="Arial" w:cs="Arial"/>
        </w:rPr>
        <w:t>,</w:t>
      </w:r>
      <w:r w:rsidR="00BF1119">
        <w:rPr>
          <w:rFonts w:ascii="Arial" w:hAnsi="Arial" w:cs="Arial"/>
        </w:rPr>
        <w:t xml:space="preserve"> apresentou coeficiente positivo e significância estatística ao nível de 5%. Ou seja, há indícios de que, nos estados do Sudeste, o aumento de autonomia de </w:t>
      </w:r>
      <w:r w:rsidR="00BF1119">
        <w:rPr>
          <w:rFonts w:ascii="Arial" w:hAnsi="Arial" w:cs="Arial"/>
        </w:rPr>
        <w:lastRenderedPageBreak/>
        <w:t>arrecadação contribui positivamente para o crescimento econômico. Este resultado está alinhado aos obtidos por Thissen (2003), Iimi (2005) e Slavinskaite (2016). Estes autores concluem</w:t>
      </w:r>
      <w:r w:rsidR="003D465C">
        <w:rPr>
          <w:rFonts w:ascii="Arial" w:hAnsi="Arial" w:cs="Arial"/>
        </w:rPr>
        <w:t xml:space="preserve"> em seus trabalhos</w:t>
      </w:r>
      <w:r w:rsidR="00BF1119">
        <w:rPr>
          <w:rFonts w:ascii="Arial" w:hAnsi="Arial" w:cs="Arial"/>
        </w:rPr>
        <w:t xml:space="preserve"> que, além de a descentralização fiscal promover o crescimento econômico, os efeitos desta descentralização dependem do estágio de desenvolvimento econômico observado na região estudada.</w:t>
      </w:r>
    </w:p>
    <w:p w14:paraId="480C4BA1" w14:textId="03E251EF" w:rsidR="004503D5" w:rsidRDefault="00CC4899" w:rsidP="00CC4899">
      <w:pPr>
        <w:spacing w:line="360" w:lineRule="auto"/>
        <w:jc w:val="both"/>
        <w:rPr>
          <w:rFonts w:ascii="Arial" w:hAnsi="Arial" w:cs="Arial"/>
        </w:rPr>
      </w:pPr>
      <w:r>
        <w:rPr>
          <w:rFonts w:ascii="Arial" w:hAnsi="Arial" w:cs="Arial"/>
        </w:rPr>
        <w:tab/>
        <w:t xml:space="preserve">A média do PIB </w:t>
      </w:r>
      <w:r>
        <w:rPr>
          <w:rFonts w:ascii="Arial" w:hAnsi="Arial" w:cs="Arial"/>
          <w:i/>
          <w:iCs/>
        </w:rPr>
        <w:t>per capita</w:t>
      </w:r>
      <w:r>
        <w:rPr>
          <w:rFonts w:ascii="Arial" w:hAnsi="Arial" w:cs="Arial"/>
        </w:rPr>
        <w:t xml:space="preserve">, no período avaliado, nas Regiões Sudeste e Sul é de R$ 30.210,99 e R$ 28.047,32 respectivamente, contra R$ 11.449,80 e R$ 15.610,33 nas Regiões Nordeste e Norte respectivamente. Esses dados sustentam que o desenvolvimento econômico das regiões Sul e Sudeste está em estágio mais avançado. A Região Centro-Oeste apresenta a maior média para o PIB </w:t>
      </w:r>
      <w:r>
        <w:rPr>
          <w:rFonts w:ascii="Arial" w:hAnsi="Arial" w:cs="Arial"/>
          <w:i/>
          <w:iCs/>
        </w:rPr>
        <w:t>per capita</w:t>
      </w:r>
      <w:r>
        <w:rPr>
          <w:rFonts w:ascii="Arial" w:hAnsi="Arial" w:cs="Arial"/>
        </w:rPr>
        <w:t xml:space="preserve"> R$ 31.968,18, entretanto, este valor é distorcido pela presença do Distrito Federal cuja média é R$ 60.749,73, os outros três Estados da Região apresentam médias da ordem de grandeza de R$ 20.000,00.</w:t>
      </w:r>
    </w:p>
    <w:p w14:paraId="1C6DE384" w14:textId="66A17027" w:rsidR="00CC4899" w:rsidRDefault="00CC4899" w:rsidP="00CC4899">
      <w:pPr>
        <w:spacing w:line="360" w:lineRule="auto"/>
        <w:jc w:val="both"/>
        <w:rPr>
          <w:rFonts w:ascii="Arial" w:hAnsi="Arial" w:cs="Arial"/>
        </w:rPr>
      </w:pPr>
      <w:r>
        <w:rPr>
          <w:rFonts w:ascii="Arial" w:hAnsi="Arial" w:cs="Arial"/>
        </w:rPr>
        <w:tab/>
        <w:t>Novamente a Taxa de Mortalidade Infantil</w:t>
      </w:r>
      <w:r w:rsidR="001E20FB">
        <w:rPr>
          <w:rFonts w:ascii="Arial" w:hAnsi="Arial" w:cs="Arial"/>
        </w:rPr>
        <w:t xml:space="preserve"> apresenta um coeficiente com valores positivos em todos os modelos e nível de significância de 1%, contrariando a expectativa inicial quanto ao comportamento da variável.</w:t>
      </w:r>
    </w:p>
    <w:p w14:paraId="35BCCD4E" w14:textId="20D8CC10" w:rsidR="001E20FB" w:rsidRDefault="001E20FB" w:rsidP="00CC4899">
      <w:pPr>
        <w:spacing w:line="360" w:lineRule="auto"/>
        <w:jc w:val="both"/>
        <w:rPr>
          <w:rFonts w:ascii="Arial" w:hAnsi="Arial" w:cs="Arial"/>
        </w:rPr>
      </w:pPr>
      <w:r>
        <w:rPr>
          <w:rFonts w:ascii="Arial" w:hAnsi="Arial" w:cs="Arial"/>
        </w:rPr>
        <w:tab/>
        <w:t>No Modelo Geral, o Indicador 1 apresentou coeficiente com valores positivos e estatisticamente significativo a 5% enquanto que o Indicador 3 apresentou coeficiente negativo e é significativo ao nível de 1%, num cenário onde coexistam as três formas de descentralização, pelas receitas, pelas despesas e pela autonomia arrecadatória, a primeira contribui positivamente para o desenvolvimento econômico e a terceira negativamente.</w:t>
      </w:r>
    </w:p>
    <w:p w14:paraId="38193524" w14:textId="1DC038C8" w:rsidR="001E20FB" w:rsidRPr="00CC4899" w:rsidRDefault="001E20FB" w:rsidP="00986E56">
      <w:pPr>
        <w:spacing w:line="360" w:lineRule="auto"/>
        <w:jc w:val="both"/>
        <w:rPr>
          <w:rFonts w:ascii="Arial" w:hAnsi="Arial" w:cs="Arial"/>
          <w:sz w:val="20"/>
          <w:szCs w:val="20"/>
        </w:rPr>
      </w:pPr>
      <w:r>
        <w:rPr>
          <w:rFonts w:ascii="Arial" w:hAnsi="Arial" w:cs="Arial"/>
        </w:rPr>
        <w:tab/>
        <w:t>Ainda com relação ao Modelo Geral, a Taxa de Mortalidade Infantil continua com o comportamento não esperado apresentado anteriormente e a Taxa de Homicídios apresenta um coeficiente de discreto valor negativo, conforme expectativa inicial em</w:t>
      </w:r>
      <w:r w:rsidR="00802836">
        <w:rPr>
          <w:rFonts w:ascii="Arial" w:hAnsi="Arial" w:cs="Arial"/>
        </w:rPr>
        <w:t xml:space="preserve"> relação </w:t>
      </w:r>
      <w:r>
        <w:rPr>
          <w:rFonts w:ascii="Arial" w:hAnsi="Arial" w:cs="Arial"/>
        </w:rPr>
        <w:t>à variável e é estatisticamente significativo ao nível de 10%, ou seja, a redução da Taxa de homicídios e em consequência aumento da percepção de segurança na região contribui ligeiramente para o crescimento econômico.</w:t>
      </w:r>
    </w:p>
    <w:p w14:paraId="35E9B84A" w14:textId="30FF2A73" w:rsidR="0002583C" w:rsidRDefault="0002583C" w:rsidP="00986E56">
      <w:pPr>
        <w:spacing w:line="360" w:lineRule="auto"/>
        <w:rPr>
          <w:rFonts w:ascii="Arial" w:hAnsi="Arial" w:cs="Arial"/>
          <w:sz w:val="20"/>
          <w:szCs w:val="20"/>
        </w:rPr>
      </w:pPr>
      <w:r>
        <w:rPr>
          <w:rFonts w:ascii="Arial" w:hAnsi="Arial" w:cs="Arial"/>
          <w:sz w:val="20"/>
          <w:szCs w:val="20"/>
        </w:rPr>
        <w:br w:type="page"/>
      </w:r>
    </w:p>
    <w:p w14:paraId="6D52F472" w14:textId="60881153" w:rsidR="00CE5F6A" w:rsidRPr="00194250" w:rsidRDefault="004E0034" w:rsidP="00CE5F6A">
      <w:pPr>
        <w:jc w:val="both"/>
        <w:rPr>
          <w:rFonts w:ascii="Arial" w:hAnsi="Arial" w:cs="Arial"/>
          <w:sz w:val="20"/>
          <w:szCs w:val="20"/>
        </w:rPr>
      </w:pPr>
      <w:r>
        <w:rPr>
          <w:rFonts w:ascii="Arial" w:hAnsi="Arial" w:cs="Arial"/>
          <w:b/>
        </w:rPr>
        <w:lastRenderedPageBreak/>
        <w:t>Tabela 8</w:t>
      </w:r>
      <w:r w:rsidR="00CE5F6A" w:rsidRPr="003343E0">
        <w:rPr>
          <w:rFonts w:ascii="Arial" w:hAnsi="Arial" w:cs="Arial"/>
          <w:b/>
        </w:rPr>
        <w:t xml:space="preserve"> – </w:t>
      </w:r>
      <w:r w:rsidR="00CE5F6A" w:rsidRPr="003343E0">
        <w:rPr>
          <w:rFonts w:ascii="Arial" w:hAnsi="Arial" w:cs="Arial"/>
        </w:rPr>
        <w:t xml:space="preserve">Resultados econométricos. Modelo de Efeitos Fixos. Região Sul. Variável dependente: taxa de variação real do PIB </w:t>
      </w:r>
      <w:r w:rsidR="00CE5F6A" w:rsidRPr="003343E0">
        <w:rPr>
          <w:rFonts w:ascii="Arial" w:hAnsi="Arial" w:cs="Arial"/>
          <w:i/>
        </w:rPr>
        <w:t>per capita</w:t>
      </w:r>
      <w:r w:rsidR="00CE5F6A" w:rsidRPr="003343E0">
        <w:rPr>
          <w:rFonts w:ascii="Arial" w:hAnsi="Arial" w:cs="Arial"/>
        </w:rPr>
        <w:t>.</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0"/>
        <w:gridCol w:w="1355"/>
        <w:gridCol w:w="1355"/>
        <w:gridCol w:w="1355"/>
        <w:gridCol w:w="1356"/>
        <w:gridCol w:w="1547"/>
      </w:tblGrid>
      <w:tr w:rsidR="0002583C" w14:paraId="71101E91" w14:textId="77777777" w:rsidTr="0002583C">
        <w:trPr>
          <w:trHeight w:val="70"/>
        </w:trPr>
        <w:tc>
          <w:tcPr>
            <w:tcW w:w="1520" w:type="dxa"/>
            <w:tcBorders>
              <w:top w:val="single" w:sz="4" w:space="0" w:color="auto"/>
              <w:bottom w:val="single" w:sz="4" w:space="0" w:color="auto"/>
            </w:tcBorders>
          </w:tcPr>
          <w:p w14:paraId="3B7A7085" w14:textId="77777777" w:rsidR="0002583C" w:rsidRPr="002D0203" w:rsidRDefault="0002583C" w:rsidP="0002583C">
            <w:pPr>
              <w:jc w:val="both"/>
              <w:rPr>
                <w:rFonts w:ascii="Arial" w:hAnsi="Arial" w:cs="Arial"/>
                <w:sz w:val="20"/>
                <w:szCs w:val="20"/>
              </w:rPr>
            </w:pPr>
            <w:r>
              <w:rPr>
                <w:rFonts w:ascii="Arial" w:hAnsi="Arial" w:cs="Arial"/>
                <w:sz w:val="20"/>
                <w:szCs w:val="20"/>
              </w:rPr>
              <w:t>Variável</w:t>
            </w:r>
          </w:p>
        </w:tc>
        <w:tc>
          <w:tcPr>
            <w:tcW w:w="1355" w:type="dxa"/>
            <w:tcBorders>
              <w:top w:val="single" w:sz="4" w:space="0" w:color="auto"/>
              <w:bottom w:val="single" w:sz="4" w:space="0" w:color="auto"/>
            </w:tcBorders>
          </w:tcPr>
          <w:p w14:paraId="633B7FA5" w14:textId="77777777" w:rsidR="0002583C" w:rsidRPr="002D0203" w:rsidRDefault="0002583C" w:rsidP="0002583C">
            <w:pPr>
              <w:jc w:val="center"/>
              <w:rPr>
                <w:rFonts w:ascii="Arial" w:hAnsi="Arial" w:cs="Arial"/>
                <w:sz w:val="20"/>
                <w:szCs w:val="20"/>
              </w:rPr>
            </w:pPr>
            <w:r w:rsidRPr="002D0203">
              <w:rPr>
                <w:rFonts w:ascii="Arial" w:hAnsi="Arial" w:cs="Arial"/>
                <w:sz w:val="20"/>
                <w:szCs w:val="20"/>
              </w:rPr>
              <w:t>Modelo 1</w:t>
            </w:r>
          </w:p>
        </w:tc>
        <w:tc>
          <w:tcPr>
            <w:tcW w:w="1355" w:type="dxa"/>
            <w:tcBorders>
              <w:top w:val="single" w:sz="4" w:space="0" w:color="auto"/>
              <w:bottom w:val="single" w:sz="4" w:space="0" w:color="auto"/>
            </w:tcBorders>
          </w:tcPr>
          <w:p w14:paraId="7C9CDB44" w14:textId="77777777" w:rsidR="0002583C" w:rsidRPr="002D0203" w:rsidRDefault="0002583C" w:rsidP="0002583C">
            <w:pPr>
              <w:jc w:val="center"/>
              <w:rPr>
                <w:rFonts w:ascii="Arial" w:hAnsi="Arial" w:cs="Arial"/>
                <w:sz w:val="20"/>
                <w:szCs w:val="20"/>
              </w:rPr>
            </w:pPr>
            <w:r w:rsidRPr="002D0203">
              <w:rPr>
                <w:rFonts w:ascii="Arial" w:hAnsi="Arial" w:cs="Arial"/>
                <w:sz w:val="20"/>
                <w:szCs w:val="20"/>
              </w:rPr>
              <w:t>Modelo 2</w:t>
            </w:r>
          </w:p>
        </w:tc>
        <w:tc>
          <w:tcPr>
            <w:tcW w:w="1355" w:type="dxa"/>
            <w:tcBorders>
              <w:top w:val="single" w:sz="4" w:space="0" w:color="auto"/>
              <w:bottom w:val="single" w:sz="4" w:space="0" w:color="auto"/>
            </w:tcBorders>
          </w:tcPr>
          <w:p w14:paraId="2894C959" w14:textId="77777777" w:rsidR="0002583C" w:rsidRPr="002D0203" w:rsidRDefault="0002583C" w:rsidP="0002583C">
            <w:pPr>
              <w:jc w:val="center"/>
              <w:rPr>
                <w:rFonts w:ascii="Arial" w:hAnsi="Arial" w:cs="Arial"/>
                <w:sz w:val="20"/>
                <w:szCs w:val="20"/>
              </w:rPr>
            </w:pPr>
            <w:r w:rsidRPr="002D0203">
              <w:rPr>
                <w:rFonts w:ascii="Arial" w:hAnsi="Arial" w:cs="Arial"/>
                <w:sz w:val="20"/>
                <w:szCs w:val="20"/>
              </w:rPr>
              <w:t>Modelo 3</w:t>
            </w:r>
          </w:p>
        </w:tc>
        <w:tc>
          <w:tcPr>
            <w:tcW w:w="1356" w:type="dxa"/>
            <w:tcBorders>
              <w:top w:val="single" w:sz="4" w:space="0" w:color="auto"/>
              <w:bottom w:val="single" w:sz="4" w:space="0" w:color="auto"/>
            </w:tcBorders>
          </w:tcPr>
          <w:p w14:paraId="6EFD28BB" w14:textId="77777777" w:rsidR="0002583C" w:rsidRPr="002D0203" w:rsidRDefault="0002583C" w:rsidP="0002583C">
            <w:pPr>
              <w:jc w:val="center"/>
              <w:rPr>
                <w:rFonts w:ascii="Arial" w:hAnsi="Arial" w:cs="Arial"/>
                <w:sz w:val="20"/>
                <w:szCs w:val="20"/>
              </w:rPr>
            </w:pPr>
            <w:r w:rsidRPr="002D0203">
              <w:rPr>
                <w:rFonts w:ascii="Arial" w:hAnsi="Arial" w:cs="Arial"/>
                <w:sz w:val="20"/>
                <w:szCs w:val="20"/>
              </w:rPr>
              <w:t>Modelo 4</w:t>
            </w:r>
          </w:p>
        </w:tc>
        <w:tc>
          <w:tcPr>
            <w:tcW w:w="1547" w:type="dxa"/>
            <w:tcBorders>
              <w:top w:val="single" w:sz="4" w:space="0" w:color="auto"/>
              <w:bottom w:val="single" w:sz="4" w:space="0" w:color="auto"/>
            </w:tcBorders>
          </w:tcPr>
          <w:p w14:paraId="01108021" w14:textId="77777777" w:rsidR="0002583C" w:rsidRPr="002D0203" w:rsidRDefault="0002583C" w:rsidP="0002583C">
            <w:pPr>
              <w:jc w:val="center"/>
              <w:rPr>
                <w:rFonts w:ascii="Arial" w:hAnsi="Arial" w:cs="Arial"/>
                <w:sz w:val="20"/>
                <w:szCs w:val="20"/>
              </w:rPr>
            </w:pPr>
            <w:r w:rsidRPr="002D0203">
              <w:rPr>
                <w:rFonts w:ascii="Arial" w:hAnsi="Arial" w:cs="Arial"/>
                <w:sz w:val="20"/>
                <w:szCs w:val="20"/>
              </w:rPr>
              <w:t>Modelo Geral</w:t>
            </w:r>
          </w:p>
        </w:tc>
      </w:tr>
      <w:tr w:rsidR="0002583C" w14:paraId="4639B9A9" w14:textId="77777777" w:rsidTr="0002583C">
        <w:tc>
          <w:tcPr>
            <w:tcW w:w="1520" w:type="dxa"/>
            <w:tcBorders>
              <w:top w:val="single" w:sz="4" w:space="0" w:color="auto"/>
            </w:tcBorders>
            <w:vAlign w:val="center"/>
          </w:tcPr>
          <w:p w14:paraId="1271A3CE" w14:textId="77777777" w:rsidR="0002583C" w:rsidRPr="002D0203" w:rsidRDefault="0002583C" w:rsidP="0002583C">
            <w:pPr>
              <w:spacing w:line="360" w:lineRule="auto"/>
              <w:jc w:val="both"/>
              <w:rPr>
                <w:rFonts w:ascii="Arial" w:hAnsi="Arial" w:cs="Arial"/>
                <w:sz w:val="20"/>
                <w:szCs w:val="20"/>
              </w:rPr>
            </w:pPr>
            <w:r>
              <w:rPr>
                <w:rFonts w:ascii="Arial" w:hAnsi="Arial" w:cs="Arial"/>
                <w:sz w:val="20"/>
                <w:szCs w:val="20"/>
              </w:rPr>
              <w:t>C</w:t>
            </w:r>
          </w:p>
        </w:tc>
        <w:tc>
          <w:tcPr>
            <w:tcW w:w="1355" w:type="dxa"/>
            <w:tcBorders>
              <w:top w:val="single" w:sz="4" w:space="0" w:color="auto"/>
            </w:tcBorders>
            <w:vAlign w:val="center"/>
          </w:tcPr>
          <w:p w14:paraId="5C95D192" w14:textId="77777777" w:rsidR="0002583C" w:rsidRDefault="00F65E94" w:rsidP="0002583C">
            <w:pPr>
              <w:jc w:val="center"/>
              <w:rPr>
                <w:rFonts w:ascii="Arial" w:hAnsi="Arial" w:cs="Arial"/>
                <w:sz w:val="20"/>
                <w:szCs w:val="20"/>
              </w:rPr>
            </w:pPr>
            <w:r>
              <w:rPr>
                <w:rFonts w:ascii="Arial" w:hAnsi="Arial" w:cs="Arial"/>
                <w:sz w:val="20"/>
                <w:szCs w:val="20"/>
              </w:rPr>
              <w:t>- 0,139</w:t>
            </w:r>
          </w:p>
          <w:p w14:paraId="45B3FB03" w14:textId="1D20A2AF" w:rsidR="00F65E94"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- 0,3378</w:t>
            </w:r>
            <w:r>
              <w:rPr>
                <w:rFonts w:ascii="Arial" w:hAnsi="Arial" w:cs="Arial"/>
                <w:sz w:val="20"/>
                <w:szCs w:val="20"/>
              </w:rPr>
              <w:t>]</w:t>
            </w:r>
          </w:p>
          <w:p w14:paraId="74841310" w14:textId="0C4ECA4F" w:rsidR="00F65E94" w:rsidRPr="002D0203" w:rsidRDefault="00F65E94" w:rsidP="0002583C">
            <w:pPr>
              <w:jc w:val="center"/>
              <w:rPr>
                <w:rFonts w:ascii="Arial" w:hAnsi="Arial" w:cs="Arial"/>
                <w:sz w:val="20"/>
                <w:szCs w:val="20"/>
              </w:rPr>
            </w:pPr>
          </w:p>
        </w:tc>
        <w:tc>
          <w:tcPr>
            <w:tcW w:w="1355" w:type="dxa"/>
            <w:tcBorders>
              <w:top w:val="single" w:sz="4" w:space="0" w:color="auto"/>
            </w:tcBorders>
            <w:vAlign w:val="center"/>
          </w:tcPr>
          <w:p w14:paraId="09CA668E" w14:textId="77777777" w:rsidR="0002583C" w:rsidRDefault="006D037E" w:rsidP="0002583C">
            <w:pPr>
              <w:jc w:val="center"/>
              <w:rPr>
                <w:rFonts w:ascii="Arial" w:hAnsi="Arial" w:cs="Arial"/>
                <w:sz w:val="20"/>
                <w:szCs w:val="20"/>
              </w:rPr>
            </w:pPr>
            <w:r>
              <w:rPr>
                <w:rFonts w:ascii="Arial" w:hAnsi="Arial" w:cs="Arial"/>
                <w:sz w:val="20"/>
                <w:szCs w:val="20"/>
              </w:rPr>
              <w:t>- 0,050</w:t>
            </w:r>
          </w:p>
          <w:p w14:paraId="0FF137DF" w14:textId="15DBD567" w:rsidR="006D037E"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- 0,1447</w:t>
            </w:r>
            <w:r>
              <w:rPr>
                <w:rFonts w:ascii="Arial" w:hAnsi="Arial" w:cs="Arial"/>
                <w:sz w:val="20"/>
                <w:szCs w:val="20"/>
              </w:rPr>
              <w:t>]</w:t>
            </w:r>
          </w:p>
          <w:p w14:paraId="687E5D98" w14:textId="4FD06263" w:rsidR="006D037E" w:rsidRPr="002D0203" w:rsidRDefault="006D037E" w:rsidP="0002583C">
            <w:pPr>
              <w:jc w:val="center"/>
              <w:rPr>
                <w:rFonts w:ascii="Arial" w:hAnsi="Arial" w:cs="Arial"/>
                <w:sz w:val="20"/>
                <w:szCs w:val="20"/>
              </w:rPr>
            </w:pPr>
          </w:p>
        </w:tc>
        <w:tc>
          <w:tcPr>
            <w:tcW w:w="1355" w:type="dxa"/>
            <w:tcBorders>
              <w:top w:val="single" w:sz="4" w:space="0" w:color="auto"/>
            </w:tcBorders>
            <w:vAlign w:val="center"/>
          </w:tcPr>
          <w:p w14:paraId="0FAC5987" w14:textId="77777777" w:rsidR="0002583C" w:rsidRDefault="002657F2" w:rsidP="0002583C">
            <w:pPr>
              <w:jc w:val="center"/>
              <w:rPr>
                <w:rFonts w:ascii="Arial" w:hAnsi="Arial" w:cs="Arial"/>
                <w:sz w:val="20"/>
                <w:szCs w:val="20"/>
              </w:rPr>
            </w:pPr>
            <w:r>
              <w:rPr>
                <w:rFonts w:ascii="Arial" w:hAnsi="Arial" w:cs="Arial"/>
                <w:sz w:val="20"/>
                <w:szCs w:val="20"/>
              </w:rPr>
              <w:t>- 1,710</w:t>
            </w:r>
          </w:p>
          <w:p w14:paraId="3D1E9D5B" w14:textId="04963F9D"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- 2,3074</w:t>
            </w:r>
            <w:r>
              <w:rPr>
                <w:rFonts w:ascii="Arial" w:hAnsi="Arial" w:cs="Arial"/>
                <w:sz w:val="20"/>
                <w:szCs w:val="20"/>
              </w:rPr>
              <w:t>]</w:t>
            </w:r>
            <w:r w:rsidR="002657F2" w:rsidRPr="002657F2">
              <w:rPr>
                <w:rFonts w:ascii="Arial" w:hAnsi="Arial" w:cs="Arial"/>
                <w:sz w:val="20"/>
                <w:szCs w:val="20"/>
                <w:vertAlign w:val="superscript"/>
              </w:rPr>
              <w:t>(b)</w:t>
            </w:r>
          </w:p>
          <w:p w14:paraId="3FEFF839" w14:textId="359C02A7" w:rsidR="002657F2" w:rsidRPr="002D0203" w:rsidRDefault="002657F2" w:rsidP="0002583C">
            <w:pPr>
              <w:jc w:val="center"/>
              <w:rPr>
                <w:rFonts w:ascii="Arial" w:hAnsi="Arial" w:cs="Arial"/>
                <w:sz w:val="20"/>
                <w:szCs w:val="20"/>
              </w:rPr>
            </w:pPr>
          </w:p>
        </w:tc>
        <w:tc>
          <w:tcPr>
            <w:tcW w:w="1356" w:type="dxa"/>
            <w:tcBorders>
              <w:top w:val="single" w:sz="4" w:space="0" w:color="auto"/>
            </w:tcBorders>
            <w:vAlign w:val="center"/>
          </w:tcPr>
          <w:p w14:paraId="61E80F41" w14:textId="77777777" w:rsidR="0002583C" w:rsidRDefault="002657F2" w:rsidP="0002583C">
            <w:pPr>
              <w:jc w:val="center"/>
              <w:rPr>
                <w:rFonts w:ascii="Arial" w:hAnsi="Arial" w:cs="Arial"/>
                <w:sz w:val="20"/>
                <w:szCs w:val="20"/>
              </w:rPr>
            </w:pPr>
            <w:r>
              <w:rPr>
                <w:rFonts w:ascii="Arial" w:hAnsi="Arial" w:cs="Arial"/>
                <w:sz w:val="20"/>
                <w:szCs w:val="20"/>
              </w:rPr>
              <w:t>- 0,063</w:t>
            </w:r>
          </w:p>
          <w:p w14:paraId="03948650" w14:textId="606B503C"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- 0,1702</w:t>
            </w:r>
            <w:r>
              <w:rPr>
                <w:rFonts w:ascii="Arial" w:hAnsi="Arial" w:cs="Arial"/>
                <w:sz w:val="20"/>
                <w:szCs w:val="20"/>
              </w:rPr>
              <w:t>]</w:t>
            </w:r>
          </w:p>
          <w:p w14:paraId="7C49CC71" w14:textId="4BB89763" w:rsidR="002657F2" w:rsidRPr="002D0203" w:rsidRDefault="002657F2" w:rsidP="0002583C">
            <w:pPr>
              <w:jc w:val="center"/>
              <w:rPr>
                <w:rFonts w:ascii="Arial" w:hAnsi="Arial" w:cs="Arial"/>
                <w:sz w:val="20"/>
                <w:szCs w:val="20"/>
              </w:rPr>
            </w:pPr>
          </w:p>
        </w:tc>
        <w:tc>
          <w:tcPr>
            <w:tcW w:w="1547" w:type="dxa"/>
            <w:tcBorders>
              <w:top w:val="single" w:sz="4" w:space="0" w:color="auto"/>
            </w:tcBorders>
            <w:vAlign w:val="center"/>
          </w:tcPr>
          <w:p w14:paraId="4A27380D" w14:textId="77777777" w:rsidR="0002583C" w:rsidRDefault="002657F2" w:rsidP="0002583C">
            <w:pPr>
              <w:jc w:val="center"/>
              <w:rPr>
                <w:rFonts w:ascii="Arial" w:hAnsi="Arial" w:cs="Arial"/>
                <w:sz w:val="20"/>
                <w:szCs w:val="20"/>
              </w:rPr>
            </w:pPr>
            <w:r>
              <w:rPr>
                <w:rFonts w:ascii="Arial" w:hAnsi="Arial" w:cs="Arial"/>
                <w:sz w:val="20"/>
                <w:szCs w:val="20"/>
              </w:rPr>
              <w:t>- 1,814</w:t>
            </w:r>
          </w:p>
          <w:p w14:paraId="37F3CD5A" w14:textId="4E4D4A04"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- 2,3216</w:t>
            </w:r>
            <w:r>
              <w:rPr>
                <w:rFonts w:ascii="Arial" w:hAnsi="Arial" w:cs="Arial"/>
                <w:sz w:val="20"/>
                <w:szCs w:val="20"/>
              </w:rPr>
              <w:t>]</w:t>
            </w:r>
            <w:r w:rsidR="002657F2" w:rsidRPr="002657F2">
              <w:rPr>
                <w:rFonts w:ascii="Arial" w:hAnsi="Arial" w:cs="Arial"/>
                <w:sz w:val="20"/>
                <w:szCs w:val="20"/>
                <w:vertAlign w:val="superscript"/>
              </w:rPr>
              <w:t>(b)</w:t>
            </w:r>
          </w:p>
          <w:p w14:paraId="1D75AB4F" w14:textId="2BBACA68" w:rsidR="002657F2" w:rsidRPr="002D0203" w:rsidRDefault="002657F2" w:rsidP="0002583C">
            <w:pPr>
              <w:jc w:val="center"/>
              <w:rPr>
                <w:rFonts w:ascii="Arial" w:hAnsi="Arial" w:cs="Arial"/>
                <w:sz w:val="20"/>
                <w:szCs w:val="20"/>
              </w:rPr>
            </w:pPr>
          </w:p>
        </w:tc>
      </w:tr>
      <w:tr w:rsidR="0002583C" w14:paraId="30846F65" w14:textId="77777777" w:rsidTr="0002583C">
        <w:tc>
          <w:tcPr>
            <w:tcW w:w="1520" w:type="dxa"/>
            <w:vAlign w:val="center"/>
          </w:tcPr>
          <w:p w14:paraId="2F945892"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I_1</w:t>
            </w:r>
          </w:p>
        </w:tc>
        <w:tc>
          <w:tcPr>
            <w:tcW w:w="1355" w:type="dxa"/>
            <w:vAlign w:val="center"/>
          </w:tcPr>
          <w:p w14:paraId="035DE165" w14:textId="77777777" w:rsidR="00F65E94" w:rsidRDefault="00F65E94" w:rsidP="00F65E94">
            <w:pPr>
              <w:jc w:val="center"/>
              <w:rPr>
                <w:rFonts w:ascii="Arial" w:hAnsi="Arial" w:cs="Arial"/>
                <w:sz w:val="20"/>
                <w:szCs w:val="20"/>
              </w:rPr>
            </w:pPr>
            <w:r>
              <w:rPr>
                <w:rFonts w:ascii="Arial" w:hAnsi="Arial" w:cs="Arial"/>
                <w:sz w:val="20"/>
                <w:szCs w:val="20"/>
              </w:rPr>
              <w:t>0,170</w:t>
            </w:r>
          </w:p>
          <w:p w14:paraId="02196F3A" w14:textId="2EEAC995" w:rsidR="00F65E94" w:rsidRDefault="0097513B" w:rsidP="00F65E94">
            <w:pPr>
              <w:jc w:val="center"/>
              <w:rPr>
                <w:rFonts w:ascii="Arial" w:hAnsi="Arial" w:cs="Arial"/>
                <w:sz w:val="20"/>
                <w:szCs w:val="20"/>
              </w:rPr>
            </w:pPr>
            <w:r>
              <w:rPr>
                <w:rFonts w:ascii="Arial" w:hAnsi="Arial" w:cs="Arial"/>
                <w:sz w:val="20"/>
                <w:szCs w:val="20"/>
              </w:rPr>
              <w:t>[</w:t>
            </w:r>
            <w:r w:rsidR="00F65E94">
              <w:rPr>
                <w:rFonts w:ascii="Arial" w:hAnsi="Arial" w:cs="Arial"/>
                <w:sz w:val="20"/>
                <w:szCs w:val="20"/>
              </w:rPr>
              <w:t>0,</w:t>
            </w:r>
            <w:r w:rsidR="0066462E">
              <w:rPr>
                <w:rFonts w:ascii="Arial" w:hAnsi="Arial" w:cs="Arial"/>
                <w:sz w:val="20"/>
                <w:szCs w:val="20"/>
              </w:rPr>
              <w:t>2207</w:t>
            </w:r>
            <w:r>
              <w:rPr>
                <w:rFonts w:ascii="Arial" w:hAnsi="Arial" w:cs="Arial"/>
                <w:sz w:val="20"/>
                <w:szCs w:val="20"/>
              </w:rPr>
              <w:t>]</w:t>
            </w:r>
          </w:p>
          <w:p w14:paraId="4ED19C9D" w14:textId="1C8053BE" w:rsidR="00F65E94" w:rsidRPr="002D0203" w:rsidRDefault="00F65E94" w:rsidP="00F65E94">
            <w:pPr>
              <w:jc w:val="center"/>
              <w:rPr>
                <w:rFonts w:ascii="Arial" w:hAnsi="Arial" w:cs="Arial"/>
                <w:sz w:val="20"/>
                <w:szCs w:val="20"/>
              </w:rPr>
            </w:pPr>
          </w:p>
        </w:tc>
        <w:tc>
          <w:tcPr>
            <w:tcW w:w="1355" w:type="dxa"/>
            <w:vAlign w:val="center"/>
          </w:tcPr>
          <w:p w14:paraId="5A721F15" w14:textId="085B4310"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671F3F9E" w14:textId="30288126"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34D88C2E" w14:textId="28230B23"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3EA2EFD5" w14:textId="77777777" w:rsidR="0002583C" w:rsidRDefault="002657F2" w:rsidP="0002583C">
            <w:pPr>
              <w:jc w:val="center"/>
              <w:rPr>
                <w:rFonts w:ascii="Arial" w:hAnsi="Arial" w:cs="Arial"/>
                <w:sz w:val="20"/>
                <w:szCs w:val="20"/>
              </w:rPr>
            </w:pPr>
            <w:r>
              <w:rPr>
                <w:rFonts w:ascii="Arial" w:hAnsi="Arial" w:cs="Arial"/>
                <w:sz w:val="20"/>
                <w:szCs w:val="20"/>
              </w:rPr>
              <w:t>0,556</w:t>
            </w:r>
          </w:p>
          <w:p w14:paraId="481C8008" w14:textId="51CED800"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0,5425</w:t>
            </w:r>
            <w:r>
              <w:rPr>
                <w:rFonts w:ascii="Arial" w:hAnsi="Arial" w:cs="Arial"/>
                <w:sz w:val="20"/>
                <w:szCs w:val="20"/>
              </w:rPr>
              <w:t>]</w:t>
            </w:r>
          </w:p>
          <w:p w14:paraId="33B7E2CC" w14:textId="25E11CD9" w:rsidR="002657F2" w:rsidRPr="002D0203" w:rsidRDefault="002657F2" w:rsidP="0002583C">
            <w:pPr>
              <w:jc w:val="center"/>
              <w:rPr>
                <w:rFonts w:ascii="Arial" w:hAnsi="Arial" w:cs="Arial"/>
                <w:sz w:val="20"/>
                <w:szCs w:val="20"/>
              </w:rPr>
            </w:pPr>
          </w:p>
        </w:tc>
      </w:tr>
      <w:tr w:rsidR="0002583C" w14:paraId="54A62BF9" w14:textId="77777777" w:rsidTr="0002583C">
        <w:tc>
          <w:tcPr>
            <w:tcW w:w="1520" w:type="dxa"/>
            <w:vAlign w:val="center"/>
          </w:tcPr>
          <w:p w14:paraId="63B253E0"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I_2</w:t>
            </w:r>
          </w:p>
        </w:tc>
        <w:tc>
          <w:tcPr>
            <w:tcW w:w="1355" w:type="dxa"/>
            <w:vAlign w:val="center"/>
          </w:tcPr>
          <w:p w14:paraId="4B489E94" w14:textId="0E24E491"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6FF65330" w14:textId="77777777" w:rsidR="0002583C" w:rsidRDefault="006D037E" w:rsidP="0002583C">
            <w:pPr>
              <w:jc w:val="center"/>
              <w:rPr>
                <w:rFonts w:ascii="Arial" w:hAnsi="Arial" w:cs="Arial"/>
                <w:sz w:val="20"/>
                <w:szCs w:val="20"/>
              </w:rPr>
            </w:pPr>
            <w:r>
              <w:rPr>
                <w:rFonts w:ascii="Arial" w:hAnsi="Arial" w:cs="Arial"/>
                <w:sz w:val="20"/>
                <w:szCs w:val="20"/>
              </w:rPr>
              <w:t>- 0,114</w:t>
            </w:r>
          </w:p>
          <w:p w14:paraId="6AF25F04" w14:textId="70B3DC3D" w:rsidR="006D037E"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- 0,2746</w:t>
            </w:r>
            <w:r>
              <w:rPr>
                <w:rFonts w:ascii="Arial" w:hAnsi="Arial" w:cs="Arial"/>
                <w:sz w:val="20"/>
                <w:szCs w:val="20"/>
              </w:rPr>
              <w:t>]</w:t>
            </w:r>
          </w:p>
          <w:p w14:paraId="3857C022" w14:textId="7BBBB3EC" w:rsidR="006D037E" w:rsidRPr="002D0203" w:rsidRDefault="006D037E" w:rsidP="0002583C">
            <w:pPr>
              <w:jc w:val="center"/>
              <w:rPr>
                <w:rFonts w:ascii="Arial" w:hAnsi="Arial" w:cs="Arial"/>
                <w:sz w:val="20"/>
                <w:szCs w:val="20"/>
              </w:rPr>
            </w:pPr>
          </w:p>
        </w:tc>
        <w:tc>
          <w:tcPr>
            <w:tcW w:w="1355" w:type="dxa"/>
            <w:vAlign w:val="center"/>
          </w:tcPr>
          <w:p w14:paraId="19729E7D" w14:textId="1CEF5B75"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5D36D57C" w14:textId="636F0F76"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31EC4729" w14:textId="77777777" w:rsidR="0002583C" w:rsidRDefault="002657F2" w:rsidP="0002583C">
            <w:pPr>
              <w:jc w:val="center"/>
              <w:rPr>
                <w:rFonts w:ascii="Arial" w:hAnsi="Arial" w:cs="Arial"/>
                <w:sz w:val="20"/>
                <w:szCs w:val="20"/>
              </w:rPr>
            </w:pPr>
            <w:r>
              <w:rPr>
                <w:rFonts w:ascii="Arial" w:hAnsi="Arial" w:cs="Arial"/>
                <w:sz w:val="20"/>
                <w:szCs w:val="20"/>
              </w:rPr>
              <w:t>- 0,453</w:t>
            </w:r>
          </w:p>
          <w:p w14:paraId="221BE05B" w14:textId="22F9D5F3"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- 0,8217</w:t>
            </w:r>
            <w:r>
              <w:rPr>
                <w:rFonts w:ascii="Arial" w:hAnsi="Arial" w:cs="Arial"/>
                <w:sz w:val="20"/>
                <w:szCs w:val="20"/>
              </w:rPr>
              <w:t>]</w:t>
            </w:r>
          </w:p>
          <w:p w14:paraId="340C3DA8" w14:textId="104AD6B7" w:rsidR="002657F2" w:rsidRPr="002D0203" w:rsidRDefault="002657F2" w:rsidP="0002583C">
            <w:pPr>
              <w:jc w:val="center"/>
              <w:rPr>
                <w:rFonts w:ascii="Arial" w:hAnsi="Arial" w:cs="Arial"/>
                <w:sz w:val="20"/>
                <w:szCs w:val="20"/>
              </w:rPr>
            </w:pPr>
          </w:p>
        </w:tc>
      </w:tr>
      <w:tr w:rsidR="0002583C" w14:paraId="626240F9" w14:textId="77777777" w:rsidTr="0002583C">
        <w:tc>
          <w:tcPr>
            <w:tcW w:w="1520" w:type="dxa"/>
            <w:vAlign w:val="center"/>
          </w:tcPr>
          <w:p w14:paraId="05F1D66A"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I_3</w:t>
            </w:r>
          </w:p>
        </w:tc>
        <w:tc>
          <w:tcPr>
            <w:tcW w:w="1355" w:type="dxa"/>
            <w:vAlign w:val="center"/>
          </w:tcPr>
          <w:p w14:paraId="29BB43A7" w14:textId="38614C58"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101F186A" w14:textId="067199F1"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15DB7AC8" w14:textId="77777777" w:rsidR="0002583C" w:rsidRDefault="002657F2" w:rsidP="0002583C">
            <w:pPr>
              <w:jc w:val="center"/>
              <w:rPr>
                <w:rFonts w:ascii="Arial" w:hAnsi="Arial" w:cs="Arial"/>
                <w:sz w:val="20"/>
                <w:szCs w:val="20"/>
              </w:rPr>
            </w:pPr>
            <w:r>
              <w:rPr>
                <w:rFonts w:ascii="Arial" w:hAnsi="Arial" w:cs="Arial"/>
                <w:sz w:val="20"/>
                <w:szCs w:val="20"/>
              </w:rPr>
              <w:t>1,609</w:t>
            </w:r>
          </w:p>
          <w:p w14:paraId="516DAD5A" w14:textId="1CCF0039"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2,4105</w:t>
            </w:r>
            <w:r>
              <w:rPr>
                <w:rFonts w:ascii="Arial" w:hAnsi="Arial" w:cs="Arial"/>
                <w:sz w:val="20"/>
                <w:szCs w:val="20"/>
              </w:rPr>
              <w:t>]</w:t>
            </w:r>
            <w:r w:rsidR="002657F2" w:rsidRPr="002657F2">
              <w:rPr>
                <w:rFonts w:ascii="Arial" w:hAnsi="Arial" w:cs="Arial"/>
                <w:sz w:val="20"/>
                <w:szCs w:val="20"/>
                <w:vertAlign w:val="superscript"/>
              </w:rPr>
              <w:t>(b)</w:t>
            </w:r>
          </w:p>
          <w:p w14:paraId="0996DCFF" w14:textId="1DAEAE9E" w:rsidR="002657F2" w:rsidRPr="002D0203" w:rsidRDefault="002657F2" w:rsidP="0002583C">
            <w:pPr>
              <w:jc w:val="center"/>
              <w:rPr>
                <w:rFonts w:ascii="Arial" w:hAnsi="Arial" w:cs="Arial"/>
                <w:sz w:val="20"/>
                <w:szCs w:val="20"/>
              </w:rPr>
            </w:pPr>
          </w:p>
        </w:tc>
        <w:tc>
          <w:tcPr>
            <w:tcW w:w="1356" w:type="dxa"/>
            <w:vAlign w:val="center"/>
          </w:tcPr>
          <w:p w14:paraId="7BA8CBB2" w14:textId="49C1BAAB"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547" w:type="dxa"/>
            <w:vAlign w:val="center"/>
          </w:tcPr>
          <w:p w14:paraId="592D9B0B" w14:textId="77777777" w:rsidR="0002583C" w:rsidRDefault="002657F2" w:rsidP="0002583C">
            <w:pPr>
              <w:jc w:val="center"/>
              <w:rPr>
                <w:rFonts w:ascii="Arial" w:hAnsi="Arial" w:cs="Arial"/>
                <w:sz w:val="20"/>
                <w:szCs w:val="20"/>
              </w:rPr>
            </w:pPr>
            <w:r>
              <w:rPr>
                <w:rFonts w:ascii="Arial" w:hAnsi="Arial" w:cs="Arial"/>
                <w:sz w:val="20"/>
                <w:szCs w:val="20"/>
              </w:rPr>
              <w:t>1,660</w:t>
            </w:r>
          </w:p>
          <w:p w14:paraId="6DAD8076" w14:textId="0D18A522"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2,4308</w:t>
            </w:r>
            <w:r>
              <w:rPr>
                <w:rFonts w:ascii="Arial" w:hAnsi="Arial" w:cs="Arial"/>
                <w:sz w:val="20"/>
                <w:szCs w:val="20"/>
              </w:rPr>
              <w:t>]</w:t>
            </w:r>
            <w:r w:rsidR="002657F2" w:rsidRPr="002657F2">
              <w:rPr>
                <w:rFonts w:ascii="Arial" w:hAnsi="Arial" w:cs="Arial"/>
                <w:sz w:val="20"/>
                <w:szCs w:val="20"/>
                <w:vertAlign w:val="superscript"/>
              </w:rPr>
              <w:t>(b)</w:t>
            </w:r>
          </w:p>
          <w:p w14:paraId="333A65DB" w14:textId="6AA59762" w:rsidR="002657F2" w:rsidRPr="002D0203" w:rsidRDefault="002657F2" w:rsidP="0002583C">
            <w:pPr>
              <w:jc w:val="center"/>
              <w:rPr>
                <w:rFonts w:ascii="Arial" w:hAnsi="Arial" w:cs="Arial"/>
                <w:sz w:val="20"/>
                <w:szCs w:val="20"/>
              </w:rPr>
            </w:pPr>
          </w:p>
        </w:tc>
      </w:tr>
      <w:tr w:rsidR="0002583C" w14:paraId="1920AF8B" w14:textId="77777777" w:rsidTr="0002583C">
        <w:tc>
          <w:tcPr>
            <w:tcW w:w="1520" w:type="dxa"/>
            <w:vAlign w:val="center"/>
          </w:tcPr>
          <w:p w14:paraId="6E63760F"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I_4</w:t>
            </w:r>
          </w:p>
        </w:tc>
        <w:tc>
          <w:tcPr>
            <w:tcW w:w="1355" w:type="dxa"/>
            <w:vAlign w:val="center"/>
          </w:tcPr>
          <w:p w14:paraId="78B502F9" w14:textId="07BA9241"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53400F74" w14:textId="1B8989A1"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5" w:type="dxa"/>
            <w:vAlign w:val="center"/>
          </w:tcPr>
          <w:p w14:paraId="5B9DBEDD" w14:textId="25946A60" w:rsidR="0002583C" w:rsidRPr="002D0203" w:rsidRDefault="00456646" w:rsidP="0002583C">
            <w:pPr>
              <w:jc w:val="center"/>
              <w:rPr>
                <w:rFonts w:ascii="Arial" w:hAnsi="Arial" w:cs="Arial"/>
                <w:sz w:val="20"/>
                <w:szCs w:val="20"/>
              </w:rPr>
            </w:pPr>
            <w:r>
              <w:rPr>
                <w:rFonts w:ascii="Arial" w:hAnsi="Arial" w:cs="Arial"/>
                <w:sz w:val="20"/>
                <w:szCs w:val="20"/>
              </w:rPr>
              <w:t>-</w:t>
            </w:r>
          </w:p>
        </w:tc>
        <w:tc>
          <w:tcPr>
            <w:tcW w:w="1356" w:type="dxa"/>
            <w:vAlign w:val="center"/>
          </w:tcPr>
          <w:p w14:paraId="22FB3EE5" w14:textId="77777777" w:rsidR="0002583C" w:rsidRDefault="002657F2" w:rsidP="0002583C">
            <w:pPr>
              <w:jc w:val="center"/>
              <w:rPr>
                <w:rFonts w:ascii="Arial" w:hAnsi="Arial" w:cs="Arial"/>
                <w:sz w:val="20"/>
                <w:szCs w:val="20"/>
              </w:rPr>
            </w:pPr>
            <w:r>
              <w:rPr>
                <w:rFonts w:ascii="Arial" w:hAnsi="Arial" w:cs="Arial"/>
                <w:sz w:val="20"/>
                <w:szCs w:val="20"/>
              </w:rPr>
              <w:t>- 0,064</w:t>
            </w:r>
          </w:p>
          <w:p w14:paraId="2DB84B82" w14:textId="2C2BE8F4"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- 0,1095</w:t>
            </w:r>
            <w:r>
              <w:rPr>
                <w:rFonts w:ascii="Arial" w:hAnsi="Arial" w:cs="Arial"/>
                <w:sz w:val="20"/>
                <w:szCs w:val="20"/>
              </w:rPr>
              <w:t>]</w:t>
            </w:r>
          </w:p>
          <w:p w14:paraId="0909297E" w14:textId="47233BC2" w:rsidR="002657F2" w:rsidRPr="002D0203" w:rsidRDefault="002657F2" w:rsidP="0002583C">
            <w:pPr>
              <w:jc w:val="center"/>
              <w:rPr>
                <w:rFonts w:ascii="Arial" w:hAnsi="Arial" w:cs="Arial"/>
                <w:sz w:val="20"/>
                <w:szCs w:val="20"/>
              </w:rPr>
            </w:pPr>
          </w:p>
        </w:tc>
        <w:tc>
          <w:tcPr>
            <w:tcW w:w="1547" w:type="dxa"/>
            <w:vAlign w:val="center"/>
          </w:tcPr>
          <w:p w14:paraId="3F8980D8" w14:textId="36B1023A" w:rsidR="0002583C" w:rsidRPr="002D0203" w:rsidRDefault="00456646" w:rsidP="0002583C">
            <w:pPr>
              <w:jc w:val="center"/>
              <w:rPr>
                <w:rFonts w:ascii="Arial" w:hAnsi="Arial" w:cs="Arial"/>
                <w:sz w:val="20"/>
                <w:szCs w:val="20"/>
              </w:rPr>
            </w:pPr>
            <w:r>
              <w:rPr>
                <w:rFonts w:ascii="Arial" w:hAnsi="Arial" w:cs="Arial"/>
                <w:sz w:val="20"/>
                <w:szCs w:val="20"/>
              </w:rPr>
              <w:t>-</w:t>
            </w:r>
          </w:p>
        </w:tc>
      </w:tr>
      <w:tr w:rsidR="0002583C" w14:paraId="6F75EF61" w14:textId="77777777" w:rsidTr="0002583C">
        <w:tc>
          <w:tcPr>
            <w:tcW w:w="1520" w:type="dxa"/>
            <w:vAlign w:val="center"/>
          </w:tcPr>
          <w:p w14:paraId="15FB2F81"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G</w:t>
            </w:r>
          </w:p>
        </w:tc>
        <w:tc>
          <w:tcPr>
            <w:tcW w:w="1355" w:type="dxa"/>
            <w:vAlign w:val="center"/>
          </w:tcPr>
          <w:p w14:paraId="6220117F" w14:textId="77777777" w:rsidR="0002583C" w:rsidRDefault="00F65E94" w:rsidP="0002583C">
            <w:pPr>
              <w:jc w:val="center"/>
              <w:rPr>
                <w:rFonts w:ascii="Arial" w:hAnsi="Arial" w:cs="Arial"/>
                <w:sz w:val="20"/>
                <w:szCs w:val="20"/>
              </w:rPr>
            </w:pPr>
            <w:r>
              <w:rPr>
                <w:rFonts w:ascii="Arial" w:hAnsi="Arial" w:cs="Arial"/>
                <w:sz w:val="20"/>
                <w:szCs w:val="20"/>
              </w:rPr>
              <w:t>- 0,798</w:t>
            </w:r>
          </w:p>
          <w:p w14:paraId="3E5A9081" w14:textId="0053E418" w:rsidR="00F65E94"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- 1,0945</w:t>
            </w:r>
            <w:r>
              <w:rPr>
                <w:rFonts w:ascii="Arial" w:hAnsi="Arial" w:cs="Arial"/>
                <w:sz w:val="20"/>
                <w:szCs w:val="20"/>
              </w:rPr>
              <w:t>]</w:t>
            </w:r>
          </w:p>
          <w:p w14:paraId="60102205" w14:textId="41E30C45" w:rsidR="00F65E94" w:rsidRPr="002D0203" w:rsidRDefault="00F65E94" w:rsidP="0002583C">
            <w:pPr>
              <w:jc w:val="center"/>
              <w:rPr>
                <w:rFonts w:ascii="Arial" w:hAnsi="Arial" w:cs="Arial"/>
                <w:sz w:val="20"/>
                <w:szCs w:val="20"/>
              </w:rPr>
            </w:pPr>
          </w:p>
        </w:tc>
        <w:tc>
          <w:tcPr>
            <w:tcW w:w="1355" w:type="dxa"/>
            <w:vAlign w:val="center"/>
          </w:tcPr>
          <w:p w14:paraId="0554C1AA" w14:textId="77777777" w:rsidR="0002583C" w:rsidRDefault="006D037E" w:rsidP="0002583C">
            <w:pPr>
              <w:jc w:val="center"/>
              <w:rPr>
                <w:rFonts w:ascii="Arial" w:hAnsi="Arial" w:cs="Arial"/>
                <w:sz w:val="20"/>
                <w:szCs w:val="20"/>
              </w:rPr>
            </w:pPr>
            <w:r>
              <w:rPr>
                <w:rFonts w:ascii="Arial" w:hAnsi="Arial" w:cs="Arial"/>
                <w:sz w:val="20"/>
                <w:szCs w:val="20"/>
              </w:rPr>
              <w:t>- 0,787</w:t>
            </w:r>
          </w:p>
          <w:p w14:paraId="146C3151" w14:textId="2A9377A8" w:rsidR="006D037E"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- 1,0794</w:t>
            </w:r>
            <w:r>
              <w:rPr>
                <w:rFonts w:ascii="Arial" w:hAnsi="Arial" w:cs="Arial"/>
                <w:sz w:val="20"/>
                <w:szCs w:val="20"/>
              </w:rPr>
              <w:t>]</w:t>
            </w:r>
          </w:p>
          <w:p w14:paraId="5F6278AA" w14:textId="14762B6A" w:rsidR="006D037E" w:rsidRPr="002D0203" w:rsidRDefault="006D037E" w:rsidP="0002583C">
            <w:pPr>
              <w:jc w:val="center"/>
              <w:rPr>
                <w:rFonts w:ascii="Arial" w:hAnsi="Arial" w:cs="Arial"/>
                <w:sz w:val="20"/>
                <w:szCs w:val="20"/>
              </w:rPr>
            </w:pPr>
          </w:p>
        </w:tc>
        <w:tc>
          <w:tcPr>
            <w:tcW w:w="1355" w:type="dxa"/>
            <w:vAlign w:val="center"/>
          </w:tcPr>
          <w:p w14:paraId="630B329C" w14:textId="77777777" w:rsidR="0002583C" w:rsidRDefault="002657F2" w:rsidP="0002583C">
            <w:pPr>
              <w:jc w:val="center"/>
              <w:rPr>
                <w:rFonts w:ascii="Arial" w:hAnsi="Arial" w:cs="Arial"/>
                <w:sz w:val="20"/>
                <w:szCs w:val="20"/>
              </w:rPr>
            </w:pPr>
            <w:r>
              <w:rPr>
                <w:rFonts w:ascii="Arial" w:hAnsi="Arial" w:cs="Arial"/>
                <w:sz w:val="20"/>
                <w:szCs w:val="20"/>
              </w:rPr>
              <w:t>- 0,140</w:t>
            </w:r>
          </w:p>
          <w:p w14:paraId="3638E7B7" w14:textId="2E5B69AA"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- 0,1882</w:t>
            </w:r>
            <w:r>
              <w:rPr>
                <w:rFonts w:ascii="Arial" w:hAnsi="Arial" w:cs="Arial"/>
                <w:sz w:val="20"/>
                <w:szCs w:val="20"/>
              </w:rPr>
              <w:t>]</w:t>
            </w:r>
          </w:p>
          <w:p w14:paraId="483EB855" w14:textId="4E733EB1" w:rsidR="002657F2" w:rsidRPr="002D0203" w:rsidRDefault="002657F2" w:rsidP="0002583C">
            <w:pPr>
              <w:jc w:val="center"/>
              <w:rPr>
                <w:rFonts w:ascii="Arial" w:hAnsi="Arial" w:cs="Arial"/>
                <w:sz w:val="20"/>
                <w:szCs w:val="20"/>
              </w:rPr>
            </w:pPr>
          </w:p>
        </w:tc>
        <w:tc>
          <w:tcPr>
            <w:tcW w:w="1356" w:type="dxa"/>
            <w:vAlign w:val="center"/>
          </w:tcPr>
          <w:p w14:paraId="5B6F5AC9" w14:textId="77777777" w:rsidR="0002583C" w:rsidRDefault="002657F2" w:rsidP="0002583C">
            <w:pPr>
              <w:jc w:val="center"/>
              <w:rPr>
                <w:rFonts w:ascii="Arial" w:hAnsi="Arial" w:cs="Arial"/>
                <w:sz w:val="20"/>
                <w:szCs w:val="20"/>
              </w:rPr>
            </w:pPr>
            <w:r>
              <w:rPr>
                <w:rFonts w:ascii="Arial" w:hAnsi="Arial" w:cs="Arial"/>
                <w:sz w:val="20"/>
                <w:szCs w:val="20"/>
              </w:rPr>
              <w:t>- 0,790</w:t>
            </w:r>
          </w:p>
          <w:p w14:paraId="20227B9A" w14:textId="60C66199"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- 1,0842</w:t>
            </w:r>
            <w:r>
              <w:rPr>
                <w:rFonts w:ascii="Arial" w:hAnsi="Arial" w:cs="Arial"/>
                <w:sz w:val="20"/>
                <w:szCs w:val="20"/>
              </w:rPr>
              <w:t>]</w:t>
            </w:r>
          </w:p>
          <w:p w14:paraId="3AB55EF1" w14:textId="7CC1568E" w:rsidR="002657F2" w:rsidRPr="002D0203" w:rsidRDefault="002657F2" w:rsidP="0002583C">
            <w:pPr>
              <w:jc w:val="center"/>
              <w:rPr>
                <w:rFonts w:ascii="Arial" w:hAnsi="Arial" w:cs="Arial"/>
                <w:sz w:val="20"/>
                <w:szCs w:val="20"/>
              </w:rPr>
            </w:pPr>
          </w:p>
        </w:tc>
        <w:tc>
          <w:tcPr>
            <w:tcW w:w="1547" w:type="dxa"/>
            <w:vAlign w:val="center"/>
          </w:tcPr>
          <w:p w14:paraId="4F699B8C" w14:textId="77777777" w:rsidR="0002583C" w:rsidRDefault="002657F2" w:rsidP="0002583C">
            <w:pPr>
              <w:jc w:val="center"/>
              <w:rPr>
                <w:rFonts w:ascii="Arial" w:hAnsi="Arial" w:cs="Arial"/>
                <w:sz w:val="20"/>
                <w:szCs w:val="20"/>
              </w:rPr>
            </w:pPr>
            <w:r>
              <w:rPr>
                <w:rFonts w:ascii="Arial" w:hAnsi="Arial" w:cs="Arial"/>
                <w:sz w:val="20"/>
                <w:szCs w:val="20"/>
              </w:rPr>
              <w:t>- 0,109</w:t>
            </w:r>
          </w:p>
          <w:p w14:paraId="2010D188" w14:textId="1A5E0E5F" w:rsidR="002657F2" w:rsidRDefault="0097513B" w:rsidP="0002583C">
            <w:pPr>
              <w:jc w:val="center"/>
              <w:rPr>
                <w:rFonts w:ascii="Arial" w:hAnsi="Arial" w:cs="Arial"/>
                <w:sz w:val="20"/>
                <w:szCs w:val="20"/>
              </w:rPr>
            </w:pPr>
            <w:r>
              <w:rPr>
                <w:rFonts w:ascii="Arial" w:hAnsi="Arial" w:cs="Arial"/>
                <w:sz w:val="20"/>
                <w:szCs w:val="20"/>
              </w:rPr>
              <w:t>[</w:t>
            </w:r>
            <w:r w:rsidR="00F513BA">
              <w:rPr>
                <w:rFonts w:ascii="Arial" w:hAnsi="Arial" w:cs="Arial"/>
                <w:sz w:val="20"/>
                <w:szCs w:val="20"/>
              </w:rPr>
              <w:t>- 0,1445</w:t>
            </w:r>
            <w:r>
              <w:rPr>
                <w:rFonts w:ascii="Arial" w:hAnsi="Arial" w:cs="Arial"/>
                <w:sz w:val="20"/>
                <w:szCs w:val="20"/>
              </w:rPr>
              <w:t>]</w:t>
            </w:r>
          </w:p>
          <w:p w14:paraId="6F56C950" w14:textId="6B4DBB21" w:rsidR="002657F2" w:rsidRPr="002D0203" w:rsidRDefault="002657F2" w:rsidP="0002583C">
            <w:pPr>
              <w:jc w:val="center"/>
              <w:rPr>
                <w:rFonts w:ascii="Arial" w:hAnsi="Arial" w:cs="Arial"/>
                <w:sz w:val="20"/>
                <w:szCs w:val="20"/>
              </w:rPr>
            </w:pPr>
          </w:p>
        </w:tc>
      </w:tr>
      <w:tr w:rsidR="0002583C" w14:paraId="5928518C" w14:textId="77777777" w:rsidTr="0002583C">
        <w:tc>
          <w:tcPr>
            <w:tcW w:w="1520" w:type="dxa"/>
            <w:vAlign w:val="center"/>
          </w:tcPr>
          <w:p w14:paraId="1A6D5D0B"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An</w:t>
            </w:r>
          </w:p>
        </w:tc>
        <w:tc>
          <w:tcPr>
            <w:tcW w:w="1355" w:type="dxa"/>
            <w:vAlign w:val="center"/>
          </w:tcPr>
          <w:p w14:paraId="07D0F005" w14:textId="77777777" w:rsidR="0002583C" w:rsidRDefault="00F65E94" w:rsidP="0002583C">
            <w:pPr>
              <w:jc w:val="center"/>
              <w:rPr>
                <w:rFonts w:ascii="Arial" w:hAnsi="Arial" w:cs="Arial"/>
                <w:sz w:val="20"/>
                <w:szCs w:val="20"/>
              </w:rPr>
            </w:pPr>
            <w:r>
              <w:rPr>
                <w:rFonts w:ascii="Arial" w:hAnsi="Arial" w:cs="Arial"/>
                <w:sz w:val="20"/>
                <w:szCs w:val="20"/>
              </w:rPr>
              <w:t>0,020</w:t>
            </w:r>
          </w:p>
          <w:p w14:paraId="52E1EA24" w14:textId="09820E23" w:rsidR="00F65E94"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0,6005</w:t>
            </w:r>
            <w:r>
              <w:rPr>
                <w:rFonts w:ascii="Arial" w:hAnsi="Arial" w:cs="Arial"/>
                <w:sz w:val="20"/>
                <w:szCs w:val="20"/>
              </w:rPr>
              <w:t>]</w:t>
            </w:r>
          </w:p>
          <w:p w14:paraId="50543D78" w14:textId="40568966" w:rsidR="00F65E94" w:rsidRPr="002D0203" w:rsidRDefault="00F65E94" w:rsidP="0002583C">
            <w:pPr>
              <w:jc w:val="center"/>
              <w:rPr>
                <w:rFonts w:ascii="Arial" w:hAnsi="Arial" w:cs="Arial"/>
                <w:sz w:val="20"/>
                <w:szCs w:val="20"/>
              </w:rPr>
            </w:pPr>
          </w:p>
        </w:tc>
        <w:tc>
          <w:tcPr>
            <w:tcW w:w="1355" w:type="dxa"/>
            <w:vAlign w:val="center"/>
          </w:tcPr>
          <w:p w14:paraId="672A30D8" w14:textId="77777777" w:rsidR="0002583C" w:rsidRDefault="006D037E" w:rsidP="0002583C">
            <w:pPr>
              <w:jc w:val="center"/>
              <w:rPr>
                <w:rFonts w:ascii="Arial" w:hAnsi="Arial" w:cs="Arial"/>
                <w:sz w:val="20"/>
                <w:szCs w:val="20"/>
              </w:rPr>
            </w:pPr>
            <w:r>
              <w:rPr>
                <w:rFonts w:ascii="Arial" w:hAnsi="Arial" w:cs="Arial"/>
                <w:sz w:val="20"/>
                <w:szCs w:val="20"/>
              </w:rPr>
              <w:t>0,015</w:t>
            </w:r>
          </w:p>
          <w:p w14:paraId="4F2FFE2C" w14:textId="09903F1D" w:rsidR="006D037E"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0,4454</w:t>
            </w:r>
            <w:r>
              <w:rPr>
                <w:rFonts w:ascii="Arial" w:hAnsi="Arial" w:cs="Arial"/>
                <w:sz w:val="20"/>
                <w:szCs w:val="20"/>
              </w:rPr>
              <w:t>]</w:t>
            </w:r>
          </w:p>
          <w:p w14:paraId="443D2DB8" w14:textId="6DAE34E4" w:rsidR="006D037E" w:rsidRPr="002D0203" w:rsidRDefault="006D037E" w:rsidP="0002583C">
            <w:pPr>
              <w:jc w:val="center"/>
              <w:rPr>
                <w:rFonts w:ascii="Arial" w:hAnsi="Arial" w:cs="Arial"/>
                <w:sz w:val="20"/>
                <w:szCs w:val="20"/>
              </w:rPr>
            </w:pPr>
          </w:p>
        </w:tc>
        <w:tc>
          <w:tcPr>
            <w:tcW w:w="1355" w:type="dxa"/>
            <w:vAlign w:val="center"/>
          </w:tcPr>
          <w:p w14:paraId="59E959BE" w14:textId="77777777" w:rsidR="0002583C" w:rsidRDefault="002657F2" w:rsidP="0002583C">
            <w:pPr>
              <w:jc w:val="center"/>
              <w:rPr>
                <w:rFonts w:ascii="Arial" w:hAnsi="Arial" w:cs="Arial"/>
                <w:sz w:val="20"/>
                <w:szCs w:val="20"/>
              </w:rPr>
            </w:pPr>
            <w:r>
              <w:rPr>
                <w:rFonts w:ascii="Arial" w:hAnsi="Arial" w:cs="Arial"/>
                <w:sz w:val="20"/>
                <w:szCs w:val="20"/>
              </w:rPr>
              <w:t>0,007</w:t>
            </w:r>
          </w:p>
          <w:p w14:paraId="0D64A902" w14:textId="78442959"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0,2277</w:t>
            </w:r>
            <w:r>
              <w:rPr>
                <w:rFonts w:ascii="Arial" w:hAnsi="Arial" w:cs="Arial"/>
                <w:sz w:val="20"/>
                <w:szCs w:val="20"/>
              </w:rPr>
              <w:t>]</w:t>
            </w:r>
          </w:p>
          <w:p w14:paraId="70CD9CBE" w14:textId="36BD0B3B" w:rsidR="002657F2" w:rsidRPr="002D0203" w:rsidRDefault="002657F2" w:rsidP="0002583C">
            <w:pPr>
              <w:jc w:val="center"/>
              <w:rPr>
                <w:rFonts w:ascii="Arial" w:hAnsi="Arial" w:cs="Arial"/>
                <w:sz w:val="20"/>
                <w:szCs w:val="20"/>
              </w:rPr>
            </w:pPr>
          </w:p>
        </w:tc>
        <w:tc>
          <w:tcPr>
            <w:tcW w:w="1356" w:type="dxa"/>
            <w:vAlign w:val="center"/>
          </w:tcPr>
          <w:p w14:paraId="7B2FDD73" w14:textId="77777777" w:rsidR="0002583C" w:rsidRDefault="002657F2" w:rsidP="0002583C">
            <w:pPr>
              <w:jc w:val="center"/>
              <w:rPr>
                <w:rFonts w:ascii="Arial" w:hAnsi="Arial" w:cs="Arial"/>
                <w:sz w:val="20"/>
                <w:szCs w:val="20"/>
              </w:rPr>
            </w:pPr>
            <w:r>
              <w:rPr>
                <w:rFonts w:ascii="Arial" w:hAnsi="Arial" w:cs="Arial"/>
                <w:sz w:val="20"/>
                <w:szCs w:val="20"/>
              </w:rPr>
              <w:t>0,017</w:t>
            </w:r>
          </w:p>
          <w:p w14:paraId="28987E7E" w14:textId="30F562E6"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0</w:t>
            </w:r>
            <w:r w:rsidR="000A0B0F">
              <w:rPr>
                <w:rFonts w:ascii="Arial" w:hAnsi="Arial" w:cs="Arial"/>
                <w:sz w:val="20"/>
                <w:szCs w:val="20"/>
              </w:rPr>
              <w:t>,</w:t>
            </w:r>
            <w:r w:rsidR="00A43D25">
              <w:rPr>
                <w:rFonts w:ascii="Arial" w:hAnsi="Arial" w:cs="Arial"/>
                <w:sz w:val="20"/>
                <w:szCs w:val="20"/>
              </w:rPr>
              <w:t>5005</w:t>
            </w:r>
            <w:r>
              <w:rPr>
                <w:rFonts w:ascii="Arial" w:hAnsi="Arial" w:cs="Arial"/>
                <w:sz w:val="20"/>
                <w:szCs w:val="20"/>
              </w:rPr>
              <w:t>]</w:t>
            </w:r>
          </w:p>
          <w:p w14:paraId="17952BE0" w14:textId="2031911B" w:rsidR="002657F2" w:rsidRPr="002D0203" w:rsidRDefault="002657F2" w:rsidP="0002583C">
            <w:pPr>
              <w:jc w:val="center"/>
              <w:rPr>
                <w:rFonts w:ascii="Arial" w:hAnsi="Arial" w:cs="Arial"/>
                <w:sz w:val="20"/>
                <w:szCs w:val="20"/>
              </w:rPr>
            </w:pPr>
          </w:p>
        </w:tc>
        <w:tc>
          <w:tcPr>
            <w:tcW w:w="1547" w:type="dxa"/>
            <w:vAlign w:val="center"/>
          </w:tcPr>
          <w:p w14:paraId="50AE18CE" w14:textId="77777777" w:rsidR="0002583C" w:rsidRDefault="002657F2" w:rsidP="0002583C">
            <w:pPr>
              <w:jc w:val="center"/>
              <w:rPr>
                <w:rFonts w:ascii="Arial" w:hAnsi="Arial" w:cs="Arial"/>
                <w:sz w:val="20"/>
                <w:szCs w:val="20"/>
              </w:rPr>
            </w:pPr>
            <w:r>
              <w:rPr>
                <w:rFonts w:ascii="Arial" w:hAnsi="Arial" w:cs="Arial"/>
                <w:sz w:val="20"/>
                <w:szCs w:val="20"/>
              </w:rPr>
              <w:t>0,000</w:t>
            </w:r>
          </w:p>
          <w:p w14:paraId="21926526" w14:textId="39D1EDCE" w:rsidR="002657F2" w:rsidRDefault="0097513B" w:rsidP="0002583C">
            <w:pPr>
              <w:jc w:val="center"/>
              <w:rPr>
                <w:rFonts w:ascii="Arial" w:hAnsi="Arial" w:cs="Arial"/>
                <w:sz w:val="20"/>
                <w:szCs w:val="20"/>
              </w:rPr>
            </w:pPr>
            <w:r>
              <w:rPr>
                <w:rFonts w:ascii="Arial" w:hAnsi="Arial" w:cs="Arial"/>
                <w:sz w:val="20"/>
                <w:szCs w:val="20"/>
              </w:rPr>
              <w:t>[</w:t>
            </w:r>
            <w:r w:rsidR="00F513BA">
              <w:rPr>
                <w:rFonts w:ascii="Arial" w:hAnsi="Arial" w:cs="Arial"/>
                <w:sz w:val="20"/>
                <w:szCs w:val="20"/>
              </w:rPr>
              <w:t>0,0120</w:t>
            </w:r>
            <w:r>
              <w:rPr>
                <w:rFonts w:ascii="Arial" w:hAnsi="Arial" w:cs="Arial"/>
                <w:sz w:val="20"/>
                <w:szCs w:val="20"/>
              </w:rPr>
              <w:t>]</w:t>
            </w:r>
          </w:p>
          <w:p w14:paraId="17E8CDB5" w14:textId="6AA6F1AD" w:rsidR="002657F2" w:rsidRPr="002D0203" w:rsidRDefault="002657F2" w:rsidP="0002583C">
            <w:pPr>
              <w:jc w:val="center"/>
              <w:rPr>
                <w:rFonts w:ascii="Arial" w:hAnsi="Arial" w:cs="Arial"/>
                <w:sz w:val="20"/>
                <w:szCs w:val="20"/>
              </w:rPr>
            </w:pPr>
          </w:p>
        </w:tc>
      </w:tr>
      <w:tr w:rsidR="0002583C" w14:paraId="5F4D3E9C" w14:textId="77777777" w:rsidTr="0002583C">
        <w:tc>
          <w:tcPr>
            <w:tcW w:w="1520" w:type="dxa"/>
            <w:vAlign w:val="center"/>
          </w:tcPr>
          <w:p w14:paraId="7ACD5BEC"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MI</w:t>
            </w:r>
          </w:p>
        </w:tc>
        <w:tc>
          <w:tcPr>
            <w:tcW w:w="1355" w:type="dxa"/>
            <w:vAlign w:val="center"/>
          </w:tcPr>
          <w:p w14:paraId="485E21E2" w14:textId="77777777" w:rsidR="0002583C" w:rsidRDefault="00F65E94" w:rsidP="0002583C">
            <w:pPr>
              <w:jc w:val="center"/>
              <w:rPr>
                <w:rFonts w:ascii="Arial" w:hAnsi="Arial" w:cs="Arial"/>
                <w:sz w:val="20"/>
                <w:szCs w:val="20"/>
              </w:rPr>
            </w:pPr>
            <w:r>
              <w:rPr>
                <w:rFonts w:ascii="Arial" w:hAnsi="Arial" w:cs="Arial"/>
                <w:sz w:val="20"/>
                <w:szCs w:val="20"/>
              </w:rPr>
              <w:t>0,020</w:t>
            </w:r>
          </w:p>
          <w:p w14:paraId="47803AA2" w14:textId="2884354B" w:rsidR="00F65E94"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1,1717</w:t>
            </w:r>
            <w:r>
              <w:rPr>
                <w:rFonts w:ascii="Arial" w:hAnsi="Arial" w:cs="Arial"/>
                <w:sz w:val="20"/>
                <w:szCs w:val="20"/>
              </w:rPr>
              <w:t>]</w:t>
            </w:r>
          </w:p>
          <w:p w14:paraId="24620311" w14:textId="1383EF4E" w:rsidR="00F65E94" w:rsidRPr="002D0203" w:rsidRDefault="00F65E94" w:rsidP="0002583C">
            <w:pPr>
              <w:jc w:val="center"/>
              <w:rPr>
                <w:rFonts w:ascii="Arial" w:hAnsi="Arial" w:cs="Arial"/>
                <w:sz w:val="20"/>
                <w:szCs w:val="20"/>
              </w:rPr>
            </w:pPr>
          </w:p>
        </w:tc>
        <w:tc>
          <w:tcPr>
            <w:tcW w:w="1355" w:type="dxa"/>
            <w:vAlign w:val="center"/>
          </w:tcPr>
          <w:p w14:paraId="0747CF09" w14:textId="77777777" w:rsidR="0002583C" w:rsidRDefault="006D037E" w:rsidP="0002583C">
            <w:pPr>
              <w:jc w:val="center"/>
              <w:rPr>
                <w:rFonts w:ascii="Arial" w:hAnsi="Arial" w:cs="Arial"/>
                <w:sz w:val="20"/>
                <w:szCs w:val="20"/>
              </w:rPr>
            </w:pPr>
            <w:r>
              <w:rPr>
                <w:rFonts w:ascii="Arial" w:hAnsi="Arial" w:cs="Arial"/>
                <w:sz w:val="20"/>
                <w:szCs w:val="20"/>
              </w:rPr>
              <w:t>0,022</w:t>
            </w:r>
          </w:p>
          <w:p w14:paraId="39392E6E" w14:textId="7A5A4A7B" w:rsidR="006D037E"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1,2632</w:t>
            </w:r>
            <w:r>
              <w:rPr>
                <w:rFonts w:ascii="Arial" w:hAnsi="Arial" w:cs="Arial"/>
                <w:sz w:val="20"/>
                <w:szCs w:val="20"/>
              </w:rPr>
              <w:t>]</w:t>
            </w:r>
          </w:p>
          <w:p w14:paraId="7B9D98C8" w14:textId="2189A986" w:rsidR="006D037E" w:rsidRPr="002D0203" w:rsidRDefault="006D037E" w:rsidP="0002583C">
            <w:pPr>
              <w:jc w:val="center"/>
              <w:rPr>
                <w:rFonts w:ascii="Arial" w:hAnsi="Arial" w:cs="Arial"/>
                <w:sz w:val="20"/>
                <w:szCs w:val="20"/>
              </w:rPr>
            </w:pPr>
          </w:p>
        </w:tc>
        <w:tc>
          <w:tcPr>
            <w:tcW w:w="1355" w:type="dxa"/>
            <w:vAlign w:val="center"/>
          </w:tcPr>
          <w:p w14:paraId="3E5DE379" w14:textId="77777777" w:rsidR="0002583C" w:rsidRDefault="002657F2" w:rsidP="0002583C">
            <w:pPr>
              <w:jc w:val="center"/>
              <w:rPr>
                <w:rFonts w:ascii="Arial" w:hAnsi="Arial" w:cs="Arial"/>
                <w:sz w:val="20"/>
                <w:szCs w:val="20"/>
              </w:rPr>
            </w:pPr>
            <w:r>
              <w:rPr>
                <w:rFonts w:ascii="Arial" w:hAnsi="Arial" w:cs="Arial"/>
                <w:sz w:val="20"/>
                <w:szCs w:val="20"/>
              </w:rPr>
              <w:t>0,023</w:t>
            </w:r>
          </w:p>
          <w:p w14:paraId="5203ECE5" w14:textId="11179355"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1,4480</w:t>
            </w:r>
            <w:r>
              <w:rPr>
                <w:rFonts w:ascii="Arial" w:hAnsi="Arial" w:cs="Arial"/>
                <w:sz w:val="20"/>
                <w:szCs w:val="20"/>
              </w:rPr>
              <w:t>]</w:t>
            </w:r>
          </w:p>
          <w:p w14:paraId="7DD1FF36" w14:textId="53D29DFE" w:rsidR="002657F2" w:rsidRPr="002D0203" w:rsidRDefault="002657F2" w:rsidP="0002583C">
            <w:pPr>
              <w:jc w:val="center"/>
              <w:rPr>
                <w:rFonts w:ascii="Arial" w:hAnsi="Arial" w:cs="Arial"/>
                <w:sz w:val="20"/>
                <w:szCs w:val="20"/>
              </w:rPr>
            </w:pPr>
          </w:p>
        </w:tc>
        <w:tc>
          <w:tcPr>
            <w:tcW w:w="1356" w:type="dxa"/>
            <w:vAlign w:val="center"/>
          </w:tcPr>
          <w:p w14:paraId="4D3CBAB5" w14:textId="77777777" w:rsidR="0002583C" w:rsidRDefault="002657F2" w:rsidP="0002583C">
            <w:pPr>
              <w:jc w:val="center"/>
              <w:rPr>
                <w:rFonts w:ascii="Arial" w:hAnsi="Arial" w:cs="Arial"/>
                <w:sz w:val="20"/>
                <w:szCs w:val="20"/>
              </w:rPr>
            </w:pPr>
            <w:r>
              <w:rPr>
                <w:rFonts w:ascii="Arial" w:hAnsi="Arial" w:cs="Arial"/>
                <w:sz w:val="20"/>
                <w:szCs w:val="20"/>
              </w:rPr>
              <w:t>0,021</w:t>
            </w:r>
          </w:p>
          <w:p w14:paraId="3C4577F3" w14:textId="3CD02F66"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1,2182</w:t>
            </w:r>
            <w:r>
              <w:rPr>
                <w:rFonts w:ascii="Arial" w:hAnsi="Arial" w:cs="Arial"/>
                <w:sz w:val="20"/>
                <w:szCs w:val="20"/>
              </w:rPr>
              <w:t>]</w:t>
            </w:r>
          </w:p>
          <w:p w14:paraId="1BED51FA" w14:textId="68E88BBB" w:rsidR="002657F2" w:rsidRPr="002D0203" w:rsidRDefault="002657F2" w:rsidP="0002583C">
            <w:pPr>
              <w:jc w:val="center"/>
              <w:rPr>
                <w:rFonts w:ascii="Arial" w:hAnsi="Arial" w:cs="Arial"/>
                <w:sz w:val="20"/>
                <w:szCs w:val="20"/>
              </w:rPr>
            </w:pPr>
          </w:p>
        </w:tc>
        <w:tc>
          <w:tcPr>
            <w:tcW w:w="1547" w:type="dxa"/>
            <w:vAlign w:val="center"/>
          </w:tcPr>
          <w:p w14:paraId="1F550E22" w14:textId="77777777" w:rsidR="0002583C" w:rsidRDefault="002657F2" w:rsidP="0002583C">
            <w:pPr>
              <w:jc w:val="center"/>
              <w:rPr>
                <w:rFonts w:ascii="Arial" w:hAnsi="Arial" w:cs="Arial"/>
                <w:sz w:val="20"/>
                <w:szCs w:val="20"/>
              </w:rPr>
            </w:pPr>
            <w:r>
              <w:rPr>
                <w:rFonts w:ascii="Arial" w:hAnsi="Arial" w:cs="Arial"/>
                <w:sz w:val="20"/>
                <w:szCs w:val="20"/>
              </w:rPr>
              <w:t>0,026</w:t>
            </w:r>
          </w:p>
          <w:p w14:paraId="6C7F72C8" w14:textId="255EDB12" w:rsidR="002657F2" w:rsidRDefault="0097513B" w:rsidP="0002583C">
            <w:pPr>
              <w:jc w:val="center"/>
              <w:rPr>
                <w:rFonts w:ascii="Arial" w:hAnsi="Arial" w:cs="Arial"/>
                <w:sz w:val="20"/>
                <w:szCs w:val="20"/>
              </w:rPr>
            </w:pPr>
            <w:r>
              <w:rPr>
                <w:rFonts w:ascii="Arial" w:hAnsi="Arial" w:cs="Arial"/>
                <w:sz w:val="20"/>
                <w:szCs w:val="20"/>
              </w:rPr>
              <w:t>[</w:t>
            </w:r>
            <w:r w:rsidR="00F513BA">
              <w:rPr>
                <w:rFonts w:ascii="Arial" w:hAnsi="Arial" w:cs="Arial"/>
                <w:sz w:val="20"/>
                <w:szCs w:val="20"/>
              </w:rPr>
              <w:t>1,5599</w:t>
            </w:r>
            <w:r>
              <w:rPr>
                <w:rFonts w:ascii="Arial" w:hAnsi="Arial" w:cs="Arial"/>
                <w:sz w:val="20"/>
                <w:szCs w:val="20"/>
              </w:rPr>
              <w:t>]</w:t>
            </w:r>
          </w:p>
          <w:p w14:paraId="150E43D7" w14:textId="434FEE8D" w:rsidR="002657F2" w:rsidRPr="002D0203" w:rsidRDefault="002657F2" w:rsidP="0002583C">
            <w:pPr>
              <w:jc w:val="center"/>
              <w:rPr>
                <w:rFonts w:ascii="Arial" w:hAnsi="Arial" w:cs="Arial"/>
                <w:sz w:val="20"/>
                <w:szCs w:val="20"/>
              </w:rPr>
            </w:pPr>
          </w:p>
        </w:tc>
      </w:tr>
      <w:tr w:rsidR="0002583C" w14:paraId="3EE0578C" w14:textId="77777777" w:rsidTr="0002583C">
        <w:tc>
          <w:tcPr>
            <w:tcW w:w="1520" w:type="dxa"/>
            <w:vAlign w:val="center"/>
          </w:tcPr>
          <w:p w14:paraId="3167DDA9" w14:textId="77777777" w:rsidR="0002583C" w:rsidRPr="002D0203" w:rsidRDefault="0002583C" w:rsidP="0002583C">
            <w:pPr>
              <w:spacing w:line="360" w:lineRule="auto"/>
              <w:jc w:val="both"/>
              <w:rPr>
                <w:rFonts w:ascii="Arial" w:hAnsi="Arial" w:cs="Arial"/>
                <w:sz w:val="20"/>
                <w:szCs w:val="20"/>
              </w:rPr>
            </w:pPr>
            <w:r w:rsidRPr="002D0203">
              <w:rPr>
                <w:rFonts w:ascii="Arial" w:hAnsi="Arial" w:cs="Arial"/>
                <w:sz w:val="20"/>
                <w:szCs w:val="20"/>
              </w:rPr>
              <w:t>Hom</w:t>
            </w:r>
          </w:p>
        </w:tc>
        <w:tc>
          <w:tcPr>
            <w:tcW w:w="1355" w:type="dxa"/>
            <w:vAlign w:val="center"/>
          </w:tcPr>
          <w:p w14:paraId="510B2354" w14:textId="77777777" w:rsidR="0002583C" w:rsidRDefault="00F65E94" w:rsidP="0002583C">
            <w:pPr>
              <w:jc w:val="center"/>
              <w:rPr>
                <w:rFonts w:ascii="Arial" w:hAnsi="Arial" w:cs="Arial"/>
                <w:sz w:val="20"/>
                <w:szCs w:val="20"/>
              </w:rPr>
            </w:pPr>
            <w:r>
              <w:rPr>
                <w:rFonts w:ascii="Arial" w:hAnsi="Arial" w:cs="Arial"/>
                <w:sz w:val="20"/>
                <w:szCs w:val="20"/>
              </w:rPr>
              <w:t>0,008</w:t>
            </w:r>
          </w:p>
          <w:p w14:paraId="6986E77B" w14:textId="00E07EDD" w:rsidR="00F65E94"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1,2653</w:t>
            </w:r>
            <w:r>
              <w:rPr>
                <w:rFonts w:ascii="Arial" w:hAnsi="Arial" w:cs="Arial"/>
                <w:sz w:val="20"/>
                <w:szCs w:val="20"/>
              </w:rPr>
              <w:t>]</w:t>
            </w:r>
          </w:p>
          <w:p w14:paraId="2E893530" w14:textId="4E609026" w:rsidR="00F65E94" w:rsidRPr="002D0203" w:rsidRDefault="00F65E94" w:rsidP="0002583C">
            <w:pPr>
              <w:jc w:val="center"/>
              <w:rPr>
                <w:rFonts w:ascii="Arial" w:hAnsi="Arial" w:cs="Arial"/>
                <w:sz w:val="20"/>
                <w:szCs w:val="20"/>
              </w:rPr>
            </w:pPr>
          </w:p>
        </w:tc>
        <w:tc>
          <w:tcPr>
            <w:tcW w:w="1355" w:type="dxa"/>
            <w:vAlign w:val="center"/>
          </w:tcPr>
          <w:p w14:paraId="289AB588" w14:textId="77777777" w:rsidR="0002583C" w:rsidRDefault="006D037E" w:rsidP="0002583C">
            <w:pPr>
              <w:jc w:val="center"/>
              <w:rPr>
                <w:rFonts w:ascii="Arial" w:hAnsi="Arial" w:cs="Arial"/>
                <w:sz w:val="20"/>
                <w:szCs w:val="20"/>
              </w:rPr>
            </w:pPr>
            <w:r>
              <w:rPr>
                <w:rFonts w:ascii="Arial" w:hAnsi="Arial" w:cs="Arial"/>
                <w:sz w:val="20"/>
                <w:szCs w:val="20"/>
              </w:rPr>
              <w:t>0,008</w:t>
            </w:r>
          </w:p>
          <w:p w14:paraId="7E1FF3F8" w14:textId="395CCBA6" w:rsidR="006D037E" w:rsidRDefault="0097513B" w:rsidP="0002583C">
            <w:pPr>
              <w:jc w:val="center"/>
              <w:rPr>
                <w:rFonts w:ascii="Arial" w:hAnsi="Arial" w:cs="Arial"/>
                <w:sz w:val="20"/>
                <w:szCs w:val="20"/>
              </w:rPr>
            </w:pPr>
            <w:r>
              <w:rPr>
                <w:rFonts w:ascii="Arial" w:hAnsi="Arial" w:cs="Arial"/>
                <w:sz w:val="20"/>
                <w:szCs w:val="20"/>
              </w:rPr>
              <w:t>[</w:t>
            </w:r>
            <w:r w:rsidR="0066462E">
              <w:rPr>
                <w:rFonts w:ascii="Arial" w:hAnsi="Arial" w:cs="Arial"/>
                <w:sz w:val="20"/>
                <w:szCs w:val="20"/>
              </w:rPr>
              <w:t>1,2566</w:t>
            </w:r>
            <w:r>
              <w:rPr>
                <w:rFonts w:ascii="Arial" w:hAnsi="Arial" w:cs="Arial"/>
                <w:sz w:val="20"/>
                <w:szCs w:val="20"/>
              </w:rPr>
              <w:t>]</w:t>
            </w:r>
          </w:p>
          <w:p w14:paraId="2ED54B6B" w14:textId="4B75B7FB" w:rsidR="006D037E" w:rsidRPr="002D0203" w:rsidRDefault="006D037E" w:rsidP="0002583C">
            <w:pPr>
              <w:jc w:val="center"/>
              <w:rPr>
                <w:rFonts w:ascii="Arial" w:hAnsi="Arial" w:cs="Arial"/>
                <w:sz w:val="20"/>
                <w:szCs w:val="20"/>
              </w:rPr>
            </w:pPr>
          </w:p>
        </w:tc>
        <w:tc>
          <w:tcPr>
            <w:tcW w:w="1355" w:type="dxa"/>
            <w:vAlign w:val="center"/>
          </w:tcPr>
          <w:p w14:paraId="254D568F" w14:textId="77777777" w:rsidR="0002583C" w:rsidRDefault="002657F2" w:rsidP="0002583C">
            <w:pPr>
              <w:jc w:val="center"/>
              <w:rPr>
                <w:rFonts w:ascii="Arial" w:hAnsi="Arial" w:cs="Arial"/>
                <w:sz w:val="20"/>
                <w:szCs w:val="20"/>
              </w:rPr>
            </w:pPr>
            <w:r>
              <w:rPr>
                <w:rFonts w:ascii="Arial" w:hAnsi="Arial" w:cs="Arial"/>
                <w:sz w:val="20"/>
                <w:szCs w:val="20"/>
              </w:rPr>
              <w:t>0,009</w:t>
            </w:r>
          </w:p>
          <w:p w14:paraId="3557CCAB" w14:textId="10FAFF2E"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1,4250</w:t>
            </w:r>
            <w:r>
              <w:rPr>
                <w:rFonts w:ascii="Arial" w:hAnsi="Arial" w:cs="Arial"/>
                <w:sz w:val="20"/>
                <w:szCs w:val="20"/>
              </w:rPr>
              <w:t>]</w:t>
            </w:r>
          </w:p>
          <w:p w14:paraId="768394CA" w14:textId="0014B45C" w:rsidR="002657F2" w:rsidRPr="002D0203" w:rsidRDefault="002657F2" w:rsidP="0002583C">
            <w:pPr>
              <w:jc w:val="center"/>
              <w:rPr>
                <w:rFonts w:ascii="Arial" w:hAnsi="Arial" w:cs="Arial"/>
                <w:sz w:val="20"/>
                <w:szCs w:val="20"/>
              </w:rPr>
            </w:pPr>
          </w:p>
        </w:tc>
        <w:tc>
          <w:tcPr>
            <w:tcW w:w="1356" w:type="dxa"/>
            <w:vAlign w:val="center"/>
          </w:tcPr>
          <w:p w14:paraId="3FB96DB4" w14:textId="77777777" w:rsidR="0002583C" w:rsidRDefault="002657F2" w:rsidP="0002583C">
            <w:pPr>
              <w:jc w:val="center"/>
              <w:rPr>
                <w:rFonts w:ascii="Arial" w:hAnsi="Arial" w:cs="Arial"/>
                <w:sz w:val="20"/>
                <w:szCs w:val="20"/>
              </w:rPr>
            </w:pPr>
            <w:r>
              <w:rPr>
                <w:rFonts w:ascii="Arial" w:hAnsi="Arial" w:cs="Arial"/>
                <w:sz w:val="20"/>
                <w:szCs w:val="20"/>
              </w:rPr>
              <w:t>0,008</w:t>
            </w:r>
          </w:p>
          <w:p w14:paraId="5412BF38" w14:textId="3D28DCD8" w:rsidR="002657F2" w:rsidRDefault="0097513B" w:rsidP="0002583C">
            <w:pPr>
              <w:jc w:val="center"/>
              <w:rPr>
                <w:rFonts w:ascii="Arial" w:hAnsi="Arial" w:cs="Arial"/>
                <w:sz w:val="20"/>
                <w:szCs w:val="20"/>
              </w:rPr>
            </w:pPr>
            <w:r>
              <w:rPr>
                <w:rFonts w:ascii="Arial" w:hAnsi="Arial" w:cs="Arial"/>
                <w:sz w:val="20"/>
                <w:szCs w:val="20"/>
              </w:rPr>
              <w:t>[</w:t>
            </w:r>
            <w:r w:rsidR="00A43D25">
              <w:rPr>
                <w:rFonts w:ascii="Arial" w:hAnsi="Arial" w:cs="Arial"/>
                <w:sz w:val="20"/>
                <w:szCs w:val="20"/>
              </w:rPr>
              <w:t>1,2495</w:t>
            </w:r>
            <w:r>
              <w:rPr>
                <w:rFonts w:ascii="Arial" w:hAnsi="Arial" w:cs="Arial"/>
                <w:sz w:val="20"/>
                <w:szCs w:val="20"/>
              </w:rPr>
              <w:t>]</w:t>
            </w:r>
          </w:p>
          <w:p w14:paraId="53C89A51" w14:textId="17A29AA1" w:rsidR="002657F2" w:rsidRPr="002D0203" w:rsidRDefault="002657F2" w:rsidP="0002583C">
            <w:pPr>
              <w:jc w:val="center"/>
              <w:rPr>
                <w:rFonts w:ascii="Arial" w:hAnsi="Arial" w:cs="Arial"/>
                <w:sz w:val="20"/>
                <w:szCs w:val="20"/>
              </w:rPr>
            </w:pPr>
          </w:p>
        </w:tc>
        <w:tc>
          <w:tcPr>
            <w:tcW w:w="1547" w:type="dxa"/>
            <w:vAlign w:val="center"/>
          </w:tcPr>
          <w:p w14:paraId="39B8073A" w14:textId="77777777" w:rsidR="0002583C" w:rsidRDefault="002657F2" w:rsidP="0002583C">
            <w:pPr>
              <w:jc w:val="center"/>
              <w:rPr>
                <w:rFonts w:ascii="Arial" w:hAnsi="Arial" w:cs="Arial"/>
                <w:sz w:val="20"/>
                <w:szCs w:val="20"/>
              </w:rPr>
            </w:pPr>
            <w:r>
              <w:rPr>
                <w:rFonts w:ascii="Arial" w:hAnsi="Arial" w:cs="Arial"/>
                <w:sz w:val="20"/>
                <w:szCs w:val="20"/>
              </w:rPr>
              <w:t>0,009</w:t>
            </w:r>
          </w:p>
          <w:p w14:paraId="59F447C4" w14:textId="03C9E2B6" w:rsidR="002657F2" w:rsidRDefault="0097513B" w:rsidP="0002583C">
            <w:pPr>
              <w:jc w:val="center"/>
              <w:rPr>
                <w:rFonts w:ascii="Arial" w:hAnsi="Arial" w:cs="Arial"/>
                <w:sz w:val="20"/>
                <w:szCs w:val="20"/>
              </w:rPr>
            </w:pPr>
            <w:r>
              <w:rPr>
                <w:rFonts w:ascii="Arial" w:hAnsi="Arial" w:cs="Arial"/>
                <w:sz w:val="20"/>
                <w:szCs w:val="20"/>
              </w:rPr>
              <w:t>[</w:t>
            </w:r>
            <w:r w:rsidR="00F513BA">
              <w:rPr>
                <w:rFonts w:ascii="Arial" w:hAnsi="Arial" w:cs="Arial"/>
                <w:sz w:val="20"/>
                <w:szCs w:val="20"/>
              </w:rPr>
              <w:t>1,4749</w:t>
            </w:r>
            <w:r>
              <w:rPr>
                <w:rFonts w:ascii="Arial" w:hAnsi="Arial" w:cs="Arial"/>
                <w:sz w:val="20"/>
                <w:szCs w:val="20"/>
              </w:rPr>
              <w:t>]</w:t>
            </w:r>
          </w:p>
          <w:p w14:paraId="3D85537A" w14:textId="2B438FE6" w:rsidR="002657F2" w:rsidRPr="002D0203" w:rsidRDefault="002657F2" w:rsidP="0002583C">
            <w:pPr>
              <w:jc w:val="center"/>
              <w:rPr>
                <w:rFonts w:ascii="Arial" w:hAnsi="Arial" w:cs="Arial"/>
                <w:sz w:val="20"/>
                <w:szCs w:val="20"/>
              </w:rPr>
            </w:pPr>
          </w:p>
        </w:tc>
      </w:tr>
      <w:tr w:rsidR="0002583C" w14:paraId="56BB8A55" w14:textId="77777777" w:rsidTr="0002583C">
        <w:tc>
          <w:tcPr>
            <w:tcW w:w="1520" w:type="dxa"/>
            <w:vAlign w:val="center"/>
          </w:tcPr>
          <w:p w14:paraId="3F8B62BC" w14:textId="6034CF93" w:rsidR="0002583C" w:rsidRPr="002D0203" w:rsidRDefault="00F65E94" w:rsidP="0002583C">
            <w:pPr>
              <w:spacing w:line="360" w:lineRule="auto"/>
              <w:jc w:val="both"/>
              <w:rPr>
                <w:rFonts w:ascii="Arial" w:hAnsi="Arial" w:cs="Arial"/>
                <w:sz w:val="20"/>
                <w:szCs w:val="20"/>
              </w:rPr>
            </w:pPr>
            <w:r>
              <w:rPr>
                <w:rFonts w:ascii="Arial" w:hAnsi="Arial" w:cs="Arial"/>
                <w:sz w:val="20"/>
                <w:szCs w:val="20"/>
              </w:rPr>
              <w:t>PR</w:t>
            </w:r>
            <w:r w:rsidR="0002583C">
              <w:rPr>
                <w:rFonts w:ascii="Arial" w:hAnsi="Arial" w:cs="Arial"/>
                <w:sz w:val="20"/>
                <w:szCs w:val="20"/>
              </w:rPr>
              <w:t xml:space="preserve"> – C</w:t>
            </w:r>
          </w:p>
        </w:tc>
        <w:tc>
          <w:tcPr>
            <w:tcW w:w="1355" w:type="dxa"/>
            <w:vAlign w:val="center"/>
          </w:tcPr>
          <w:p w14:paraId="24E78377" w14:textId="77777777" w:rsidR="0002583C" w:rsidRDefault="00F65E94" w:rsidP="0002583C">
            <w:pPr>
              <w:jc w:val="center"/>
              <w:rPr>
                <w:rFonts w:ascii="Arial" w:hAnsi="Arial" w:cs="Arial"/>
                <w:sz w:val="20"/>
                <w:szCs w:val="20"/>
              </w:rPr>
            </w:pPr>
            <w:r>
              <w:rPr>
                <w:rFonts w:ascii="Arial" w:hAnsi="Arial" w:cs="Arial"/>
                <w:sz w:val="20"/>
                <w:szCs w:val="20"/>
              </w:rPr>
              <w:t>- 0,101</w:t>
            </w:r>
          </w:p>
          <w:p w14:paraId="7BBDD854" w14:textId="06B33AE8" w:rsidR="00F65E94" w:rsidRDefault="00F65E94" w:rsidP="0002583C">
            <w:pPr>
              <w:jc w:val="center"/>
              <w:rPr>
                <w:rFonts w:ascii="Arial" w:hAnsi="Arial" w:cs="Arial"/>
                <w:sz w:val="20"/>
                <w:szCs w:val="20"/>
              </w:rPr>
            </w:pPr>
          </w:p>
        </w:tc>
        <w:tc>
          <w:tcPr>
            <w:tcW w:w="1355" w:type="dxa"/>
            <w:vAlign w:val="center"/>
          </w:tcPr>
          <w:p w14:paraId="6C454BED" w14:textId="77777777" w:rsidR="0002583C" w:rsidRDefault="002657F2" w:rsidP="0002583C">
            <w:pPr>
              <w:jc w:val="center"/>
              <w:rPr>
                <w:rFonts w:ascii="Arial" w:hAnsi="Arial" w:cs="Arial"/>
                <w:sz w:val="20"/>
                <w:szCs w:val="20"/>
              </w:rPr>
            </w:pPr>
            <w:r>
              <w:rPr>
                <w:rFonts w:ascii="Arial" w:hAnsi="Arial" w:cs="Arial"/>
                <w:sz w:val="20"/>
                <w:szCs w:val="20"/>
              </w:rPr>
              <w:t>- 0,091</w:t>
            </w:r>
          </w:p>
          <w:p w14:paraId="3849FA13" w14:textId="2E32C1E5" w:rsidR="002657F2" w:rsidRPr="002D0203" w:rsidRDefault="002657F2" w:rsidP="0002583C">
            <w:pPr>
              <w:jc w:val="center"/>
              <w:rPr>
                <w:rFonts w:ascii="Arial" w:hAnsi="Arial" w:cs="Arial"/>
                <w:sz w:val="20"/>
                <w:szCs w:val="20"/>
              </w:rPr>
            </w:pPr>
          </w:p>
        </w:tc>
        <w:tc>
          <w:tcPr>
            <w:tcW w:w="1355" w:type="dxa"/>
            <w:vAlign w:val="center"/>
          </w:tcPr>
          <w:p w14:paraId="7F44FCB2" w14:textId="77777777" w:rsidR="0002583C" w:rsidRDefault="002657F2" w:rsidP="0002583C">
            <w:pPr>
              <w:jc w:val="center"/>
              <w:rPr>
                <w:rFonts w:ascii="Arial" w:hAnsi="Arial" w:cs="Arial"/>
                <w:sz w:val="20"/>
                <w:szCs w:val="20"/>
              </w:rPr>
            </w:pPr>
            <w:r>
              <w:rPr>
                <w:rFonts w:ascii="Arial" w:hAnsi="Arial" w:cs="Arial"/>
                <w:sz w:val="20"/>
                <w:szCs w:val="20"/>
              </w:rPr>
              <w:t>- 0,067</w:t>
            </w:r>
          </w:p>
          <w:p w14:paraId="1871EFE6" w14:textId="78CD83C4" w:rsidR="002657F2" w:rsidRPr="002D0203" w:rsidRDefault="002657F2" w:rsidP="0002583C">
            <w:pPr>
              <w:jc w:val="center"/>
              <w:rPr>
                <w:rFonts w:ascii="Arial" w:hAnsi="Arial" w:cs="Arial"/>
                <w:sz w:val="20"/>
                <w:szCs w:val="20"/>
              </w:rPr>
            </w:pPr>
          </w:p>
        </w:tc>
        <w:tc>
          <w:tcPr>
            <w:tcW w:w="1356" w:type="dxa"/>
            <w:vAlign w:val="center"/>
          </w:tcPr>
          <w:p w14:paraId="02E5C68F" w14:textId="77777777" w:rsidR="0002583C" w:rsidRDefault="002657F2" w:rsidP="0002583C">
            <w:pPr>
              <w:jc w:val="center"/>
              <w:rPr>
                <w:rFonts w:ascii="Arial" w:hAnsi="Arial" w:cs="Arial"/>
                <w:sz w:val="20"/>
                <w:szCs w:val="20"/>
              </w:rPr>
            </w:pPr>
            <w:r>
              <w:rPr>
                <w:rFonts w:ascii="Arial" w:hAnsi="Arial" w:cs="Arial"/>
                <w:sz w:val="20"/>
                <w:szCs w:val="20"/>
              </w:rPr>
              <w:t>- 0,093</w:t>
            </w:r>
          </w:p>
          <w:p w14:paraId="1D0F9858" w14:textId="1F1EFD3D" w:rsidR="002657F2" w:rsidRPr="002D0203" w:rsidRDefault="002657F2" w:rsidP="0002583C">
            <w:pPr>
              <w:jc w:val="center"/>
              <w:rPr>
                <w:rFonts w:ascii="Arial" w:hAnsi="Arial" w:cs="Arial"/>
                <w:sz w:val="20"/>
                <w:szCs w:val="20"/>
              </w:rPr>
            </w:pPr>
          </w:p>
        </w:tc>
        <w:tc>
          <w:tcPr>
            <w:tcW w:w="1547" w:type="dxa"/>
            <w:vAlign w:val="center"/>
          </w:tcPr>
          <w:p w14:paraId="29B9A363" w14:textId="77777777" w:rsidR="0002583C" w:rsidRDefault="002657F2" w:rsidP="0002583C">
            <w:pPr>
              <w:jc w:val="center"/>
              <w:rPr>
                <w:rFonts w:ascii="Arial" w:hAnsi="Arial" w:cs="Arial"/>
                <w:sz w:val="20"/>
                <w:szCs w:val="20"/>
              </w:rPr>
            </w:pPr>
            <w:r>
              <w:rPr>
                <w:rFonts w:ascii="Arial" w:hAnsi="Arial" w:cs="Arial"/>
                <w:sz w:val="20"/>
                <w:szCs w:val="20"/>
              </w:rPr>
              <w:t>- 0,070</w:t>
            </w:r>
          </w:p>
          <w:p w14:paraId="0C849E5A" w14:textId="64D064D8" w:rsidR="002657F2" w:rsidRPr="002D0203" w:rsidRDefault="002657F2" w:rsidP="0002583C">
            <w:pPr>
              <w:jc w:val="center"/>
              <w:rPr>
                <w:rFonts w:ascii="Arial" w:hAnsi="Arial" w:cs="Arial"/>
                <w:sz w:val="20"/>
                <w:szCs w:val="20"/>
              </w:rPr>
            </w:pPr>
          </w:p>
        </w:tc>
      </w:tr>
      <w:tr w:rsidR="0002583C" w14:paraId="13CC05B3" w14:textId="77777777" w:rsidTr="0002583C">
        <w:tc>
          <w:tcPr>
            <w:tcW w:w="1520" w:type="dxa"/>
            <w:vAlign w:val="center"/>
          </w:tcPr>
          <w:p w14:paraId="73B6BC16" w14:textId="3E473628" w:rsidR="0002583C" w:rsidRPr="002D0203" w:rsidRDefault="00F65E94" w:rsidP="0002583C">
            <w:pPr>
              <w:spacing w:line="360" w:lineRule="auto"/>
              <w:jc w:val="both"/>
              <w:rPr>
                <w:rFonts w:ascii="Arial" w:hAnsi="Arial" w:cs="Arial"/>
                <w:sz w:val="20"/>
                <w:szCs w:val="20"/>
              </w:rPr>
            </w:pPr>
            <w:r>
              <w:rPr>
                <w:rFonts w:ascii="Arial" w:hAnsi="Arial" w:cs="Arial"/>
                <w:sz w:val="20"/>
                <w:szCs w:val="20"/>
              </w:rPr>
              <w:t>SC</w:t>
            </w:r>
            <w:r w:rsidR="0002583C">
              <w:rPr>
                <w:rFonts w:ascii="Arial" w:hAnsi="Arial" w:cs="Arial"/>
                <w:sz w:val="20"/>
                <w:szCs w:val="20"/>
              </w:rPr>
              <w:t xml:space="preserve"> – C</w:t>
            </w:r>
          </w:p>
        </w:tc>
        <w:tc>
          <w:tcPr>
            <w:tcW w:w="1355" w:type="dxa"/>
            <w:vAlign w:val="center"/>
          </w:tcPr>
          <w:p w14:paraId="2873F7F8" w14:textId="77777777" w:rsidR="0002583C" w:rsidRDefault="00F65E94" w:rsidP="0002583C">
            <w:pPr>
              <w:jc w:val="center"/>
              <w:rPr>
                <w:rFonts w:ascii="Arial" w:hAnsi="Arial" w:cs="Arial"/>
                <w:sz w:val="20"/>
                <w:szCs w:val="20"/>
              </w:rPr>
            </w:pPr>
            <w:r>
              <w:rPr>
                <w:rFonts w:ascii="Arial" w:hAnsi="Arial" w:cs="Arial"/>
                <w:sz w:val="20"/>
                <w:szCs w:val="20"/>
              </w:rPr>
              <w:t>0,000</w:t>
            </w:r>
          </w:p>
          <w:p w14:paraId="62540A7F" w14:textId="2D581D97" w:rsidR="00F65E94" w:rsidRDefault="00F65E94" w:rsidP="0002583C">
            <w:pPr>
              <w:jc w:val="center"/>
              <w:rPr>
                <w:rFonts w:ascii="Arial" w:hAnsi="Arial" w:cs="Arial"/>
                <w:sz w:val="20"/>
                <w:szCs w:val="20"/>
              </w:rPr>
            </w:pPr>
          </w:p>
        </w:tc>
        <w:tc>
          <w:tcPr>
            <w:tcW w:w="1355" w:type="dxa"/>
            <w:vAlign w:val="center"/>
          </w:tcPr>
          <w:p w14:paraId="271B9DC5" w14:textId="77777777" w:rsidR="0002583C" w:rsidRDefault="002657F2" w:rsidP="0002583C">
            <w:pPr>
              <w:jc w:val="center"/>
              <w:rPr>
                <w:rFonts w:ascii="Arial" w:hAnsi="Arial" w:cs="Arial"/>
                <w:sz w:val="20"/>
                <w:szCs w:val="20"/>
              </w:rPr>
            </w:pPr>
            <w:r>
              <w:rPr>
                <w:rFonts w:ascii="Arial" w:hAnsi="Arial" w:cs="Arial"/>
                <w:sz w:val="20"/>
                <w:szCs w:val="20"/>
              </w:rPr>
              <w:t>0,025</w:t>
            </w:r>
          </w:p>
          <w:p w14:paraId="685F6A69" w14:textId="62C127AA" w:rsidR="002657F2" w:rsidRPr="002D0203" w:rsidRDefault="002657F2" w:rsidP="0002583C">
            <w:pPr>
              <w:jc w:val="center"/>
              <w:rPr>
                <w:rFonts w:ascii="Arial" w:hAnsi="Arial" w:cs="Arial"/>
                <w:sz w:val="20"/>
                <w:szCs w:val="20"/>
              </w:rPr>
            </w:pPr>
          </w:p>
        </w:tc>
        <w:tc>
          <w:tcPr>
            <w:tcW w:w="1355" w:type="dxa"/>
            <w:vAlign w:val="center"/>
          </w:tcPr>
          <w:p w14:paraId="7C8E8868" w14:textId="77777777" w:rsidR="0002583C" w:rsidRDefault="002657F2" w:rsidP="0002583C">
            <w:pPr>
              <w:jc w:val="center"/>
              <w:rPr>
                <w:rFonts w:ascii="Arial" w:hAnsi="Arial" w:cs="Arial"/>
                <w:sz w:val="20"/>
                <w:szCs w:val="20"/>
              </w:rPr>
            </w:pPr>
            <w:r>
              <w:rPr>
                <w:rFonts w:ascii="Arial" w:hAnsi="Arial" w:cs="Arial"/>
                <w:sz w:val="20"/>
                <w:szCs w:val="20"/>
              </w:rPr>
              <w:t>- 0,001</w:t>
            </w:r>
          </w:p>
          <w:p w14:paraId="2F9F3089" w14:textId="2F1966EE" w:rsidR="002657F2" w:rsidRPr="002D0203" w:rsidRDefault="002657F2" w:rsidP="0002583C">
            <w:pPr>
              <w:jc w:val="center"/>
              <w:rPr>
                <w:rFonts w:ascii="Arial" w:hAnsi="Arial" w:cs="Arial"/>
                <w:sz w:val="20"/>
                <w:szCs w:val="20"/>
              </w:rPr>
            </w:pPr>
          </w:p>
        </w:tc>
        <w:tc>
          <w:tcPr>
            <w:tcW w:w="1356" w:type="dxa"/>
            <w:vAlign w:val="center"/>
          </w:tcPr>
          <w:p w14:paraId="0673EAFD" w14:textId="77777777" w:rsidR="0002583C" w:rsidRDefault="002657F2" w:rsidP="0002583C">
            <w:pPr>
              <w:jc w:val="center"/>
              <w:rPr>
                <w:rFonts w:ascii="Arial" w:hAnsi="Arial" w:cs="Arial"/>
                <w:sz w:val="20"/>
                <w:szCs w:val="20"/>
              </w:rPr>
            </w:pPr>
            <w:r>
              <w:rPr>
                <w:rFonts w:ascii="Arial" w:hAnsi="Arial" w:cs="Arial"/>
                <w:sz w:val="20"/>
                <w:szCs w:val="20"/>
              </w:rPr>
              <w:t>0,020</w:t>
            </w:r>
          </w:p>
          <w:p w14:paraId="23315534" w14:textId="0961C29E" w:rsidR="002657F2" w:rsidRPr="002D0203" w:rsidRDefault="002657F2" w:rsidP="0002583C">
            <w:pPr>
              <w:jc w:val="center"/>
              <w:rPr>
                <w:rFonts w:ascii="Arial" w:hAnsi="Arial" w:cs="Arial"/>
                <w:sz w:val="20"/>
                <w:szCs w:val="20"/>
              </w:rPr>
            </w:pPr>
          </w:p>
        </w:tc>
        <w:tc>
          <w:tcPr>
            <w:tcW w:w="1547" w:type="dxa"/>
            <w:vAlign w:val="center"/>
          </w:tcPr>
          <w:p w14:paraId="4110A8FD" w14:textId="77777777" w:rsidR="0002583C" w:rsidRDefault="002657F2" w:rsidP="0002583C">
            <w:pPr>
              <w:jc w:val="center"/>
              <w:rPr>
                <w:rFonts w:ascii="Arial" w:hAnsi="Arial" w:cs="Arial"/>
                <w:sz w:val="20"/>
                <w:szCs w:val="20"/>
              </w:rPr>
            </w:pPr>
            <w:r>
              <w:rPr>
                <w:rFonts w:ascii="Arial" w:hAnsi="Arial" w:cs="Arial"/>
                <w:sz w:val="20"/>
                <w:szCs w:val="20"/>
              </w:rPr>
              <w:t>- 0,007</w:t>
            </w:r>
          </w:p>
          <w:p w14:paraId="758F4160" w14:textId="53ECDE15" w:rsidR="002657F2" w:rsidRPr="002D0203" w:rsidRDefault="002657F2" w:rsidP="0002583C">
            <w:pPr>
              <w:jc w:val="center"/>
              <w:rPr>
                <w:rFonts w:ascii="Arial" w:hAnsi="Arial" w:cs="Arial"/>
                <w:sz w:val="20"/>
                <w:szCs w:val="20"/>
              </w:rPr>
            </w:pPr>
          </w:p>
        </w:tc>
      </w:tr>
      <w:tr w:rsidR="0002583C" w14:paraId="3ECC2AA0" w14:textId="77777777" w:rsidTr="0002583C">
        <w:tc>
          <w:tcPr>
            <w:tcW w:w="1520" w:type="dxa"/>
            <w:vAlign w:val="center"/>
          </w:tcPr>
          <w:p w14:paraId="15036764" w14:textId="321DFC32" w:rsidR="0002583C" w:rsidRPr="002D0203" w:rsidRDefault="00F65E94" w:rsidP="0002583C">
            <w:pPr>
              <w:spacing w:line="360" w:lineRule="auto"/>
              <w:jc w:val="both"/>
              <w:rPr>
                <w:rFonts w:ascii="Arial" w:hAnsi="Arial" w:cs="Arial"/>
                <w:sz w:val="20"/>
                <w:szCs w:val="20"/>
              </w:rPr>
            </w:pPr>
            <w:r>
              <w:rPr>
                <w:rFonts w:ascii="Arial" w:hAnsi="Arial" w:cs="Arial"/>
                <w:sz w:val="20"/>
                <w:szCs w:val="20"/>
              </w:rPr>
              <w:t>RS</w:t>
            </w:r>
            <w:r w:rsidR="0002583C">
              <w:rPr>
                <w:rFonts w:ascii="Arial" w:hAnsi="Arial" w:cs="Arial"/>
                <w:sz w:val="20"/>
                <w:szCs w:val="20"/>
              </w:rPr>
              <w:t xml:space="preserve"> – C</w:t>
            </w:r>
          </w:p>
        </w:tc>
        <w:tc>
          <w:tcPr>
            <w:tcW w:w="1355" w:type="dxa"/>
            <w:vAlign w:val="center"/>
          </w:tcPr>
          <w:p w14:paraId="67A6678F" w14:textId="77777777" w:rsidR="0002583C" w:rsidRDefault="00F65E94" w:rsidP="0002583C">
            <w:pPr>
              <w:jc w:val="center"/>
              <w:rPr>
                <w:rFonts w:ascii="Arial" w:hAnsi="Arial" w:cs="Arial"/>
                <w:sz w:val="20"/>
                <w:szCs w:val="20"/>
              </w:rPr>
            </w:pPr>
            <w:r>
              <w:rPr>
                <w:rFonts w:ascii="Arial" w:hAnsi="Arial" w:cs="Arial"/>
                <w:sz w:val="20"/>
                <w:szCs w:val="20"/>
              </w:rPr>
              <w:t>0,101</w:t>
            </w:r>
          </w:p>
          <w:p w14:paraId="6D9D2EFA" w14:textId="6773FC64" w:rsidR="00F65E94" w:rsidRDefault="00F65E94" w:rsidP="0002583C">
            <w:pPr>
              <w:jc w:val="center"/>
              <w:rPr>
                <w:rFonts w:ascii="Arial" w:hAnsi="Arial" w:cs="Arial"/>
                <w:sz w:val="20"/>
                <w:szCs w:val="20"/>
              </w:rPr>
            </w:pPr>
          </w:p>
        </w:tc>
        <w:tc>
          <w:tcPr>
            <w:tcW w:w="1355" w:type="dxa"/>
            <w:vAlign w:val="center"/>
          </w:tcPr>
          <w:p w14:paraId="408230DC" w14:textId="77777777" w:rsidR="0002583C" w:rsidRDefault="002657F2" w:rsidP="0002583C">
            <w:pPr>
              <w:jc w:val="center"/>
              <w:rPr>
                <w:rFonts w:ascii="Arial" w:hAnsi="Arial" w:cs="Arial"/>
                <w:sz w:val="20"/>
                <w:szCs w:val="20"/>
              </w:rPr>
            </w:pPr>
            <w:r>
              <w:rPr>
                <w:rFonts w:ascii="Arial" w:hAnsi="Arial" w:cs="Arial"/>
                <w:sz w:val="20"/>
                <w:szCs w:val="20"/>
              </w:rPr>
              <w:t>0,066</w:t>
            </w:r>
          </w:p>
          <w:p w14:paraId="6616003D" w14:textId="0796D551" w:rsidR="002657F2" w:rsidRPr="002D0203" w:rsidRDefault="002657F2" w:rsidP="0002583C">
            <w:pPr>
              <w:jc w:val="center"/>
              <w:rPr>
                <w:rFonts w:ascii="Arial" w:hAnsi="Arial" w:cs="Arial"/>
                <w:sz w:val="20"/>
                <w:szCs w:val="20"/>
              </w:rPr>
            </w:pPr>
          </w:p>
        </w:tc>
        <w:tc>
          <w:tcPr>
            <w:tcW w:w="1355" w:type="dxa"/>
            <w:vAlign w:val="center"/>
          </w:tcPr>
          <w:p w14:paraId="5D837AEF" w14:textId="77777777" w:rsidR="0002583C" w:rsidRDefault="002657F2" w:rsidP="0002583C">
            <w:pPr>
              <w:jc w:val="center"/>
              <w:rPr>
                <w:rFonts w:ascii="Arial" w:hAnsi="Arial" w:cs="Arial"/>
                <w:sz w:val="20"/>
                <w:szCs w:val="20"/>
              </w:rPr>
            </w:pPr>
            <w:r>
              <w:rPr>
                <w:rFonts w:ascii="Arial" w:hAnsi="Arial" w:cs="Arial"/>
                <w:sz w:val="20"/>
                <w:szCs w:val="20"/>
              </w:rPr>
              <w:t>0,068</w:t>
            </w:r>
          </w:p>
          <w:p w14:paraId="1F738497" w14:textId="5F9E788C" w:rsidR="002657F2" w:rsidRPr="002D0203" w:rsidRDefault="002657F2" w:rsidP="0002583C">
            <w:pPr>
              <w:jc w:val="center"/>
              <w:rPr>
                <w:rFonts w:ascii="Arial" w:hAnsi="Arial" w:cs="Arial"/>
                <w:sz w:val="20"/>
                <w:szCs w:val="20"/>
              </w:rPr>
            </w:pPr>
          </w:p>
        </w:tc>
        <w:tc>
          <w:tcPr>
            <w:tcW w:w="1356" w:type="dxa"/>
            <w:vAlign w:val="center"/>
          </w:tcPr>
          <w:p w14:paraId="7C267C3F" w14:textId="77777777" w:rsidR="0002583C" w:rsidRDefault="002657F2" w:rsidP="0002583C">
            <w:pPr>
              <w:jc w:val="center"/>
              <w:rPr>
                <w:rFonts w:ascii="Arial" w:hAnsi="Arial" w:cs="Arial"/>
                <w:sz w:val="20"/>
                <w:szCs w:val="20"/>
              </w:rPr>
            </w:pPr>
            <w:r>
              <w:rPr>
                <w:rFonts w:ascii="Arial" w:hAnsi="Arial" w:cs="Arial"/>
                <w:sz w:val="20"/>
                <w:szCs w:val="20"/>
              </w:rPr>
              <w:t>0,073</w:t>
            </w:r>
          </w:p>
          <w:p w14:paraId="2EC3D191" w14:textId="03C6C955" w:rsidR="002657F2" w:rsidRPr="002D0203" w:rsidRDefault="002657F2" w:rsidP="0002583C">
            <w:pPr>
              <w:jc w:val="center"/>
              <w:rPr>
                <w:rFonts w:ascii="Arial" w:hAnsi="Arial" w:cs="Arial"/>
                <w:sz w:val="20"/>
                <w:szCs w:val="20"/>
              </w:rPr>
            </w:pPr>
          </w:p>
        </w:tc>
        <w:tc>
          <w:tcPr>
            <w:tcW w:w="1547" w:type="dxa"/>
            <w:vAlign w:val="center"/>
          </w:tcPr>
          <w:p w14:paraId="0F3E87A4" w14:textId="77777777" w:rsidR="0002583C" w:rsidRDefault="002657F2" w:rsidP="0002583C">
            <w:pPr>
              <w:jc w:val="center"/>
              <w:rPr>
                <w:rFonts w:ascii="Arial" w:hAnsi="Arial" w:cs="Arial"/>
                <w:sz w:val="20"/>
                <w:szCs w:val="20"/>
              </w:rPr>
            </w:pPr>
            <w:r>
              <w:rPr>
                <w:rFonts w:ascii="Arial" w:hAnsi="Arial" w:cs="Arial"/>
                <w:sz w:val="20"/>
                <w:szCs w:val="20"/>
              </w:rPr>
              <w:t>0,077</w:t>
            </w:r>
          </w:p>
          <w:p w14:paraId="4C7BA740" w14:textId="3D0BF839" w:rsidR="002657F2" w:rsidRPr="002D0203" w:rsidRDefault="002657F2" w:rsidP="0002583C">
            <w:pPr>
              <w:jc w:val="center"/>
              <w:rPr>
                <w:rFonts w:ascii="Arial" w:hAnsi="Arial" w:cs="Arial"/>
                <w:sz w:val="20"/>
                <w:szCs w:val="20"/>
              </w:rPr>
            </w:pPr>
          </w:p>
        </w:tc>
      </w:tr>
      <w:tr w:rsidR="0002583C" w14:paraId="1DEBC467" w14:textId="77777777" w:rsidTr="0002583C">
        <w:tc>
          <w:tcPr>
            <w:tcW w:w="1520" w:type="dxa"/>
            <w:vAlign w:val="center"/>
          </w:tcPr>
          <w:p w14:paraId="5BFA462C" w14:textId="77777777" w:rsidR="0002583C" w:rsidRDefault="0002583C" w:rsidP="0002583C">
            <w:pPr>
              <w:spacing w:line="360" w:lineRule="auto"/>
              <w:jc w:val="both"/>
              <w:rPr>
                <w:rFonts w:ascii="Arial" w:hAnsi="Arial" w:cs="Arial"/>
                <w:sz w:val="20"/>
                <w:szCs w:val="20"/>
              </w:rPr>
            </w:pPr>
            <w:r>
              <w:rPr>
                <w:rFonts w:ascii="Arial" w:hAnsi="Arial" w:cs="Arial"/>
                <w:sz w:val="20"/>
                <w:szCs w:val="20"/>
              </w:rPr>
              <w:t>R</w:t>
            </w:r>
            <w:r w:rsidRPr="004F2583">
              <w:rPr>
                <w:rFonts w:ascii="Arial" w:hAnsi="Arial" w:cs="Arial"/>
                <w:sz w:val="20"/>
                <w:szCs w:val="20"/>
                <w:vertAlign w:val="superscript"/>
              </w:rPr>
              <w:t>2</w:t>
            </w:r>
          </w:p>
        </w:tc>
        <w:tc>
          <w:tcPr>
            <w:tcW w:w="1355" w:type="dxa"/>
            <w:vAlign w:val="center"/>
          </w:tcPr>
          <w:p w14:paraId="4E6DD9B6" w14:textId="77777777" w:rsidR="0002583C" w:rsidRDefault="00F65E94" w:rsidP="0002583C">
            <w:pPr>
              <w:jc w:val="center"/>
              <w:rPr>
                <w:rFonts w:ascii="Arial" w:hAnsi="Arial" w:cs="Arial"/>
                <w:sz w:val="20"/>
                <w:szCs w:val="20"/>
              </w:rPr>
            </w:pPr>
            <w:r>
              <w:rPr>
                <w:rFonts w:ascii="Arial" w:hAnsi="Arial" w:cs="Arial"/>
                <w:sz w:val="20"/>
                <w:szCs w:val="20"/>
              </w:rPr>
              <w:t>0,158</w:t>
            </w:r>
          </w:p>
          <w:p w14:paraId="0EE328C7" w14:textId="604EE9D7" w:rsidR="00F65E94" w:rsidRDefault="00F65E94" w:rsidP="0002583C">
            <w:pPr>
              <w:jc w:val="center"/>
              <w:rPr>
                <w:rFonts w:ascii="Arial" w:hAnsi="Arial" w:cs="Arial"/>
                <w:sz w:val="20"/>
                <w:szCs w:val="20"/>
              </w:rPr>
            </w:pPr>
          </w:p>
        </w:tc>
        <w:tc>
          <w:tcPr>
            <w:tcW w:w="1355" w:type="dxa"/>
            <w:vAlign w:val="center"/>
          </w:tcPr>
          <w:p w14:paraId="369D8D96" w14:textId="77777777" w:rsidR="0002583C" w:rsidRDefault="002657F2" w:rsidP="0002583C">
            <w:pPr>
              <w:jc w:val="center"/>
              <w:rPr>
                <w:rFonts w:ascii="Arial" w:hAnsi="Arial" w:cs="Arial"/>
                <w:sz w:val="20"/>
                <w:szCs w:val="20"/>
              </w:rPr>
            </w:pPr>
            <w:r>
              <w:rPr>
                <w:rFonts w:ascii="Arial" w:hAnsi="Arial" w:cs="Arial"/>
                <w:sz w:val="20"/>
                <w:szCs w:val="20"/>
              </w:rPr>
              <w:t>0,158</w:t>
            </w:r>
          </w:p>
          <w:p w14:paraId="09F4856F" w14:textId="335A9F49" w:rsidR="002657F2" w:rsidRPr="002D0203" w:rsidRDefault="002657F2" w:rsidP="0002583C">
            <w:pPr>
              <w:jc w:val="center"/>
              <w:rPr>
                <w:rFonts w:ascii="Arial" w:hAnsi="Arial" w:cs="Arial"/>
                <w:sz w:val="20"/>
                <w:szCs w:val="20"/>
              </w:rPr>
            </w:pPr>
          </w:p>
        </w:tc>
        <w:tc>
          <w:tcPr>
            <w:tcW w:w="1355" w:type="dxa"/>
            <w:vAlign w:val="center"/>
          </w:tcPr>
          <w:p w14:paraId="4E65AC7A" w14:textId="77777777" w:rsidR="0002583C" w:rsidRDefault="002657F2" w:rsidP="0002583C">
            <w:pPr>
              <w:jc w:val="center"/>
              <w:rPr>
                <w:rFonts w:ascii="Arial" w:hAnsi="Arial" w:cs="Arial"/>
                <w:sz w:val="20"/>
                <w:szCs w:val="20"/>
              </w:rPr>
            </w:pPr>
            <w:r>
              <w:rPr>
                <w:rFonts w:ascii="Arial" w:hAnsi="Arial" w:cs="Arial"/>
                <w:sz w:val="20"/>
                <w:szCs w:val="20"/>
              </w:rPr>
              <w:t>0,242</w:t>
            </w:r>
          </w:p>
          <w:p w14:paraId="641A1B90" w14:textId="0C5FB314" w:rsidR="002657F2" w:rsidRPr="002D0203" w:rsidRDefault="002657F2" w:rsidP="0002583C">
            <w:pPr>
              <w:jc w:val="center"/>
              <w:rPr>
                <w:rFonts w:ascii="Arial" w:hAnsi="Arial" w:cs="Arial"/>
                <w:sz w:val="20"/>
                <w:szCs w:val="20"/>
              </w:rPr>
            </w:pPr>
          </w:p>
        </w:tc>
        <w:tc>
          <w:tcPr>
            <w:tcW w:w="1356" w:type="dxa"/>
            <w:vAlign w:val="center"/>
          </w:tcPr>
          <w:p w14:paraId="156B38C3" w14:textId="77777777" w:rsidR="0002583C" w:rsidRDefault="002657F2" w:rsidP="0002583C">
            <w:pPr>
              <w:jc w:val="center"/>
              <w:rPr>
                <w:rFonts w:ascii="Arial" w:hAnsi="Arial" w:cs="Arial"/>
                <w:sz w:val="20"/>
                <w:szCs w:val="20"/>
              </w:rPr>
            </w:pPr>
            <w:r>
              <w:rPr>
                <w:rFonts w:ascii="Arial" w:hAnsi="Arial" w:cs="Arial"/>
                <w:sz w:val="20"/>
                <w:szCs w:val="20"/>
              </w:rPr>
              <w:t>0,157</w:t>
            </w:r>
          </w:p>
          <w:p w14:paraId="17C3E26B" w14:textId="533E3B06" w:rsidR="002657F2" w:rsidRPr="002D0203" w:rsidRDefault="002657F2" w:rsidP="0002583C">
            <w:pPr>
              <w:jc w:val="center"/>
              <w:rPr>
                <w:rFonts w:ascii="Arial" w:hAnsi="Arial" w:cs="Arial"/>
                <w:sz w:val="20"/>
                <w:szCs w:val="20"/>
              </w:rPr>
            </w:pPr>
          </w:p>
        </w:tc>
        <w:tc>
          <w:tcPr>
            <w:tcW w:w="1547" w:type="dxa"/>
            <w:vAlign w:val="center"/>
          </w:tcPr>
          <w:p w14:paraId="0DCF8DCB" w14:textId="77777777" w:rsidR="0002583C" w:rsidRDefault="002657F2" w:rsidP="0002583C">
            <w:pPr>
              <w:jc w:val="center"/>
              <w:rPr>
                <w:rFonts w:ascii="Arial" w:hAnsi="Arial" w:cs="Arial"/>
                <w:sz w:val="20"/>
                <w:szCs w:val="20"/>
              </w:rPr>
            </w:pPr>
            <w:r>
              <w:rPr>
                <w:rFonts w:ascii="Arial" w:hAnsi="Arial" w:cs="Arial"/>
                <w:sz w:val="20"/>
                <w:szCs w:val="20"/>
              </w:rPr>
              <w:t>0,252</w:t>
            </w:r>
          </w:p>
          <w:p w14:paraId="1F15AF1E" w14:textId="5DE0A2B9" w:rsidR="002657F2" w:rsidRPr="002D0203" w:rsidRDefault="002657F2" w:rsidP="0002583C">
            <w:pPr>
              <w:jc w:val="center"/>
              <w:rPr>
                <w:rFonts w:ascii="Arial" w:hAnsi="Arial" w:cs="Arial"/>
                <w:sz w:val="20"/>
                <w:szCs w:val="20"/>
              </w:rPr>
            </w:pPr>
          </w:p>
        </w:tc>
      </w:tr>
      <w:tr w:rsidR="0002583C" w:rsidRPr="003343E0" w14:paraId="53B64639" w14:textId="77777777" w:rsidTr="0002583C">
        <w:tc>
          <w:tcPr>
            <w:tcW w:w="1520" w:type="dxa"/>
            <w:vAlign w:val="center"/>
          </w:tcPr>
          <w:p w14:paraId="78DA673A" w14:textId="77777777" w:rsidR="0002583C" w:rsidRPr="003343E0" w:rsidRDefault="0002583C" w:rsidP="0002583C">
            <w:pPr>
              <w:spacing w:line="360" w:lineRule="auto"/>
              <w:jc w:val="both"/>
              <w:rPr>
                <w:rFonts w:ascii="Arial" w:hAnsi="Arial" w:cs="Arial"/>
                <w:sz w:val="20"/>
                <w:szCs w:val="20"/>
              </w:rPr>
            </w:pPr>
            <w:r w:rsidRPr="003343E0">
              <w:rPr>
                <w:rFonts w:ascii="Arial" w:hAnsi="Arial" w:cs="Arial"/>
                <w:sz w:val="20"/>
                <w:szCs w:val="20"/>
              </w:rPr>
              <w:t>R</w:t>
            </w:r>
            <w:r w:rsidRPr="003343E0">
              <w:rPr>
                <w:rFonts w:ascii="Arial" w:hAnsi="Arial" w:cs="Arial"/>
                <w:sz w:val="20"/>
                <w:szCs w:val="20"/>
                <w:vertAlign w:val="superscript"/>
              </w:rPr>
              <w:t>2</w:t>
            </w:r>
            <w:r w:rsidRPr="003343E0">
              <w:rPr>
                <w:rFonts w:ascii="Arial" w:hAnsi="Arial" w:cs="Arial"/>
                <w:sz w:val="20"/>
                <w:szCs w:val="20"/>
              </w:rPr>
              <w:t xml:space="preserve"> ajustado</w:t>
            </w:r>
          </w:p>
        </w:tc>
        <w:tc>
          <w:tcPr>
            <w:tcW w:w="1355" w:type="dxa"/>
            <w:vAlign w:val="center"/>
          </w:tcPr>
          <w:p w14:paraId="6DB704AB" w14:textId="0F1D66A3" w:rsidR="0002583C" w:rsidRPr="003343E0" w:rsidRDefault="00F65E94" w:rsidP="0002583C">
            <w:pPr>
              <w:jc w:val="center"/>
              <w:rPr>
                <w:rFonts w:ascii="Arial" w:hAnsi="Arial" w:cs="Arial"/>
                <w:sz w:val="20"/>
                <w:szCs w:val="20"/>
              </w:rPr>
            </w:pPr>
            <w:r w:rsidRPr="003343E0">
              <w:rPr>
                <w:rFonts w:ascii="Arial" w:hAnsi="Arial" w:cs="Arial"/>
                <w:sz w:val="20"/>
                <w:szCs w:val="20"/>
              </w:rPr>
              <w:t>0,044</w:t>
            </w:r>
          </w:p>
        </w:tc>
        <w:tc>
          <w:tcPr>
            <w:tcW w:w="1355" w:type="dxa"/>
            <w:vAlign w:val="center"/>
          </w:tcPr>
          <w:p w14:paraId="213B03D7" w14:textId="3EAB30B9" w:rsidR="0002583C" w:rsidRPr="003343E0" w:rsidRDefault="002657F2" w:rsidP="0002583C">
            <w:pPr>
              <w:jc w:val="center"/>
              <w:rPr>
                <w:rFonts w:ascii="Arial" w:hAnsi="Arial" w:cs="Arial"/>
                <w:sz w:val="20"/>
                <w:szCs w:val="20"/>
              </w:rPr>
            </w:pPr>
            <w:r w:rsidRPr="003343E0">
              <w:rPr>
                <w:rFonts w:ascii="Arial" w:hAnsi="Arial" w:cs="Arial"/>
                <w:sz w:val="20"/>
                <w:szCs w:val="20"/>
              </w:rPr>
              <w:t>0,045</w:t>
            </w:r>
          </w:p>
        </w:tc>
        <w:tc>
          <w:tcPr>
            <w:tcW w:w="1355" w:type="dxa"/>
            <w:vAlign w:val="center"/>
          </w:tcPr>
          <w:p w14:paraId="700F2259" w14:textId="14602F77" w:rsidR="0002583C" w:rsidRPr="003343E0" w:rsidRDefault="002657F2" w:rsidP="0002583C">
            <w:pPr>
              <w:jc w:val="center"/>
              <w:rPr>
                <w:rFonts w:ascii="Arial" w:hAnsi="Arial" w:cs="Arial"/>
                <w:sz w:val="20"/>
                <w:szCs w:val="20"/>
              </w:rPr>
            </w:pPr>
            <w:r w:rsidRPr="003343E0">
              <w:rPr>
                <w:rFonts w:ascii="Arial" w:hAnsi="Arial" w:cs="Arial"/>
                <w:sz w:val="20"/>
                <w:szCs w:val="20"/>
              </w:rPr>
              <w:t>0,140</w:t>
            </w:r>
          </w:p>
        </w:tc>
        <w:tc>
          <w:tcPr>
            <w:tcW w:w="1356" w:type="dxa"/>
            <w:vAlign w:val="center"/>
          </w:tcPr>
          <w:p w14:paraId="0FA5A8F8" w14:textId="6677E236" w:rsidR="0002583C" w:rsidRPr="003343E0" w:rsidRDefault="002657F2" w:rsidP="0002583C">
            <w:pPr>
              <w:jc w:val="center"/>
              <w:rPr>
                <w:rFonts w:ascii="Arial" w:hAnsi="Arial" w:cs="Arial"/>
                <w:sz w:val="20"/>
                <w:szCs w:val="20"/>
              </w:rPr>
            </w:pPr>
            <w:r w:rsidRPr="003343E0">
              <w:rPr>
                <w:rFonts w:ascii="Arial" w:hAnsi="Arial" w:cs="Arial"/>
                <w:sz w:val="20"/>
                <w:szCs w:val="20"/>
              </w:rPr>
              <w:t>0,044</w:t>
            </w:r>
          </w:p>
        </w:tc>
        <w:tc>
          <w:tcPr>
            <w:tcW w:w="1547" w:type="dxa"/>
            <w:vAlign w:val="center"/>
          </w:tcPr>
          <w:p w14:paraId="614FF6A7" w14:textId="17BDC303" w:rsidR="0002583C" w:rsidRPr="003343E0" w:rsidRDefault="002657F2" w:rsidP="0002583C">
            <w:pPr>
              <w:jc w:val="center"/>
              <w:rPr>
                <w:rFonts w:ascii="Arial" w:hAnsi="Arial" w:cs="Arial"/>
                <w:sz w:val="20"/>
                <w:szCs w:val="20"/>
              </w:rPr>
            </w:pPr>
            <w:r w:rsidRPr="003343E0">
              <w:rPr>
                <w:rFonts w:ascii="Arial" w:hAnsi="Arial" w:cs="Arial"/>
                <w:sz w:val="20"/>
                <w:szCs w:val="20"/>
              </w:rPr>
              <w:t>0,117</w:t>
            </w:r>
          </w:p>
        </w:tc>
      </w:tr>
    </w:tbl>
    <w:p w14:paraId="02743EF3" w14:textId="3814C2BB" w:rsidR="003343E0" w:rsidRPr="00D64A9C" w:rsidRDefault="003343E0" w:rsidP="003343E0">
      <w:pPr>
        <w:jc w:val="both"/>
        <w:rPr>
          <w:rFonts w:ascii="Arial" w:hAnsi="Arial" w:cs="Arial"/>
          <w:sz w:val="20"/>
          <w:szCs w:val="20"/>
        </w:rPr>
      </w:pPr>
      <w:r w:rsidRPr="00D64A9C">
        <w:rPr>
          <w:rFonts w:ascii="Arial" w:hAnsi="Arial" w:cs="Arial"/>
          <w:b/>
          <w:sz w:val="20"/>
          <w:szCs w:val="20"/>
        </w:rPr>
        <w:t>Fonte:</w:t>
      </w:r>
      <w:r w:rsidRPr="00D64A9C">
        <w:rPr>
          <w:rFonts w:ascii="Arial" w:hAnsi="Arial" w:cs="Arial"/>
          <w:sz w:val="20"/>
          <w:szCs w:val="20"/>
        </w:rPr>
        <w:t xml:space="preserve"> elaboração própria. Dados amostrais anuais (ajustados): 1995 2014. Número de observações: 20 depois dos ajustes. Número de cortes transversais: 3. Total de observações (balanceadas): 60</w:t>
      </w:r>
    </w:p>
    <w:p w14:paraId="0510B904" w14:textId="409F973E" w:rsidR="0066462E" w:rsidRPr="00D64A9C" w:rsidRDefault="003343E0" w:rsidP="003343E0">
      <w:pPr>
        <w:jc w:val="both"/>
        <w:rPr>
          <w:rFonts w:ascii="Arial" w:hAnsi="Arial" w:cs="Arial"/>
          <w:sz w:val="20"/>
          <w:szCs w:val="20"/>
        </w:rPr>
      </w:pPr>
      <w:r w:rsidRPr="00D64A9C">
        <w:rPr>
          <w:rFonts w:ascii="Arial" w:hAnsi="Arial" w:cs="Arial"/>
          <w:sz w:val="20"/>
          <w:szCs w:val="20"/>
        </w:rPr>
        <w:t xml:space="preserve"> </w:t>
      </w:r>
      <w:r w:rsidRPr="00D64A9C">
        <w:rPr>
          <w:rFonts w:ascii="Arial" w:hAnsi="Arial" w:cs="Arial"/>
          <w:b/>
          <w:sz w:val="20"/>
          <w:szCs w:val="20"/>
        </w:rPr>
        <w:t>Nota:</w:t>
      </w:r>
      <w:r w:rsidRPr="00D64A9C">
        <w:rPr>
          <w:rFonts w:ascii="Arial" w:hAnsi="Arial" w:cs="Arial"/>
          <w:sz w:val="20"/>
          <w:szCs w:val="20"/>
        </w:rPr>
        <w:t xml:space="preserve"> (a), (b) e (c) indicam que os coeficientes estimados são estatisticamente significantes ou rejeição da hipótese nula ao nível de significância de 1%, 5% e 10%, respectivamente. Os valores em parênteses são as estatísticas </w:t>
      </w:r>
      <w:r w:rsidRPr="00D64A9C">
        <w:rPr>
          <w:rFonts w:ascii="Arial" w:hAnsi="Arial" w:cs="Arial"/>
          <w:i/>
          <w:sz w:val="20"/>
          <w:szCs w:val="20"/>
        </w:rPr>
        <w:t xml:space="preserve">t </w:t>
      </w:r>
      <w:r w:rsidRPr="00D64A9C">
        <w:rPr>
          <w:rFonts w:ascii="Arial" w:hAnsi="Arial" w:cs="Arial"/>
          <w:sz w:val="20"/>
          <w:szCs w:val="20"/>
        </w:rPr>
        <w:t>de Student.</w:t>
      </w:r>
    </w:p>
    <w:p w14:paraId="0B2F1CAF" w14:textId="5BA28D75" w:rsidR="00491598" w:rsidRDefault="00491598" w:rsidP="007A0C98">
      <w:pPr>
        <w:spacing w:line="360" w:lineRule="auto"/>
        <w:rPr>
          <w:rFonts w:ascii="Arial" w:hAnsi="Arial" w:cs="Arial"/>
        </w:rPr>
      </w:pPr>
    </w:p>
    <w:p w14:paraId="06199A39" w14:textId="4118CB9C" w:rsidR="007A0C98" w:rsidRPr="00986E56" w:rsidRDefault="007A0C98" w:rsidP="00986E56">
      <w:pPr>
        <w:spacing w:line="360" w:lineRule="auto"/>
        <w:jc w:val="both"/>
        <w:rPr>
          <w:rFonts w:ascii="Arial" w:hAnsi="Arial" w:cs="Arial"/>
        </w:rPr>
      </w:pPr>
      <w:r>
        <w:rPr>
          <w:rFonts w:ascii="Arial" w:hAnsi="Arial" w:cs="Arial"/>
        </w:rPr>
        <w:tab/>
        <w:t>Com relação aos resultados da regressão para a Região Sul, é possível observar que apenas o Indicador 3 apresentou significância estatística no modelo, ao nível de 5%. Trata-se da segunda região mais desenvolvida economicamente, assim,</w:t>
      </w:r>
      <w:r w:rsidR="000A0B0F">
        <w:rPr>
          <w:rFonts w:ascii="Arial" w:hAnsi="Arial" w:cs="Arial"/>
        </w:rPr>
        <w:t xml:space="preserve"> mais uma evidência de que a forma de descentralização tem seu resultado dependente do estágio de desenvolvimento </w:t>
      </w:r>
      <w:r w:rsidR="000A0B0F">
        <w:rPr>
          <w:rFonts w:ascii="Arial" w:hAnsi="Arial" w:cs="Arial"/>
        </w:rPr>
        <w:lastRenderedPageBreak/>
        <w:t>econômico no qual se encontra a região estudada. Para os Estados do Sul, esta foi a única variável que apresentou significância estatística para o modelo.</w:t>
      </w:r>
    </w:p>
    <w:p w14:paraId="71DEFBF2" w14:textId="77777777" w:rsidR="00310FDB" w:rsidRPr="006140C8" w:rsidRDefault="00310FDB" w:rsidP="00802836">
      <w:pPr>
        <w:pStyle w:val="Ttulo"/>
      </w:pPr>
      <w:bookmarkStart w:id="18" w:name="_Toc16492070"/>
      <w:r w:rsidRPr="006140C8">
        <w:t>6. Considerações finais e implicações de políticas</w:t>
      </w:r>
      <w:bookmarkEnd w:id="18"/>
    </w:p>
    <w:p w14:paraId="30D30BD5" w14:textId="77777777" w:rsidR="00C62482" w:rsidRDefault="00C62482" w:rsidP="00310FDB">
      <w:pPr>
        <w:rPr>
          <w:rFonts w:ascii="Arial" w:hAnsi="Arial" w:cs="Arial"/>
        </w:rPr>
      </w:pPr>
    </w:p>
    <w:p w14:paraId="6F5ACB7B" w14:textId="269B680F" w:rsidR="00C62482" w:rsidRDefault="00C62482" w:rsidP="00A951E7">
      <w:pPr>
        <w:spacing w:line="360" w:lineRule="auto"/>
        <w:jc w:val="both"/>
        <w:rPr>
          <w:rFonts w:ascii="Arial" w:hAnsi="Arial" w:cs="Arial"/>
        </w:rPr>
      </w:pPr>
      <w:r>
        <w:rPr>
          <w:rFonts w:ascii="Arial" w:hAnsi="Arial" w:cs="Arial"/>
        </w:rPr>
        <w:tab/>
        <w:t>A descentralização fiscal como forma de promover o crescimento econômico tem sido objeto de estudo de diversos autores</w:t>
      </w:r>
      <w:r w:rsidR="00EC41F0">
        <w:rPr>
          <w:rFonts w:ascii="Arial" w:hAnsi="Arial" w:cs="Arial"/>
        </w:rPr>
        <w:t>.</w:t>
      </w:r>
      <w:r w:rsidR="00802836">
        <w:rPr>
          <w:rFonts w:ascii="Arial" w:hAnsi="Arial" w:cs="Arial"/>
        </w:rPr>
        <w:t xml:space="preserve"> A </w:t>
      </w:r>
      <w:r>
        <w:rPr>
          <w:rFonts w:ascii="Arial" w:hAnsi="Arial" w:cs="Arial"/>
        </w:rPr>
        <w:t>hipótese teórica sobre o assunto diz que por ser trazer ganhos de eficiência no uso dos recursos públicos e por possibilitar a implementação de políticas públicas alinhadas aos anseios da população local a descentralização fiscal tem um impacto positivo no crescimento econômico de uma região. Essa constatação é detalhada nos trabalhos de Oates (1993) e Tiebout (1956) principalmente. Apesar disso, estudos produzidos a partir da década de 1990 apresentaram resultados variados, alguns comprovando a hipótese teórica e outras trazendo resultados contrários. Em razão disto, o presente trabalho procurou, por meio da utilização dos dados mais homogêneos e confiáveis possíve</w:t>
      </w:r>
      <w:r w:rsidR="00A951E7">
        <w:rPr>
          <w:rFonts w:ascii="Arial" w:hAnsi="Arial" w:cs="Arial"/>
        </w:rPr>
        <w:t>is</w:t>
      </w:r>
      <w:r>
        <w:rPr>
          <w:rFonts w:ascii="Arial" w:hAnsi="Arial" w:cs="Arial"/>
        </w:rPr>
        <w:t xml:space="preserve">, comprovar a hipótese teórica para o caso brasileiro, particularmente no período de 1995 a 2016. Os resultados econométricos revelaram evidências de que </w:t>
      </w:r>
      <w:r w:rsidR="00F71A8C">
        <w:rPr>
          <w:rFonts w:ascii="Arial" w:hAnsi="Arial" w:cs="Arial"/>
        </w:rPr>
        <w:t>sim, no período estudado, a descentralização fiscal trouxe impactos positivos ao crescimento econômico das regiões geográficas, mas essa relação varia de uma região para outra.</w:t>
      </w:r>
    </w:p>
    <w:p w14:paraId="524A1A3A" w14:textId="77777777" w:rsidR="0047071D" w:rsidRDefault="00F71A8C" w:rsidP="00A70177">
      <w:pPr>
        <w:spacing w:line="360" w:lineRule="auto"/>
        <w:jc w:val="both"/>
        <w:rPr>
          <w:rFonts w:ascii="Arial" w:hAnsi="Arial" w:cs="Arial"/>
        </w:rPr>
      </w:pPr>
      <w:r>
        <w:rPr>
          <w:rFonts w:ascii="Arial" w:hAnsi="Arial" w:cs="Arial"/>
        </w:rPr>
        <w:tab/>
      </w:r>
      <w:r w:rsidR="00A70177">
        <w:rPr>
          <w:rFonts w:ascii="Arial" w:hAnsi="Arial" w:cs="Arial"/>
        </w:rPr>
        <w:t xml:space="preserve">Neste estudo, foram obtidos resultados alinhados com a hipótese dos trabalhos teóricos sobre descentralização fiscal e crescimento econômico. Com relação aos resultados econométricos individuais de cada uma das regiões geográficas do país, para o Centro-Oeste, o Nordeste e o Norte, o indicador relacionado positivamente ao crescimento econômico do período foi o Indicador 1, uma medida de descentralização de receitas. Já para o Sudeste e o Sul o Indicador 3, medida de autonomia de arrecadação, se mostrou relacionado positivamente ao crescimento econômico. Estes resultados são consistentes com os obtidos por Akai e Sakata (2002), a partir de uma seleção cuidadosa dos dados fiscais, período analisado e controlando as diferenças culturais e </w:t>
      </w:r>
      <w:r w:rsidR="00A70177">
        <w:rPr>
          <w:rFonts w:ascii="Arial" w:hAnsi="Arial" w:cs="Arial"/>
        </w:rPr>
        <w:lastRenderedPageBreak/>
        <w:t>estruturais entre os estados analisados, foi possível encontrar uma relação positiva entre descentralização fiscal e crescimento econômico.</w:t>
      </w:r>
    </w:p>
    <w:p w14:paraId="19EB15A4" w14:textId="42580A68" w:rsidR="00F71A8C" w:rsidRDefault="0047071D" w:rsidP="00A70177">
      <w:pPr>
        <w:spacing w:line="360" w:lineRule="auto"/>
        <w:jc w:val="both"/>
        <w:rPr>
          <w:rFonts w:ascii="Arial" w:hAnsi="Arial" w:cs="Arial"/>
        </w:rPr>
      </w:pPr>
      <w:r>
        <w:rPr>
          <w:rFonts w:ascii="Arial" w:hAnsi="Arial" w:cs="Arial"/>
        </w:rPr>
        <w:tab/>
        <w:t xml:space="preserve">Outro aspecto dos resultados obtidos que merece destaque é o fato de a forma de descentralização que foi relevante para a promoção do crescimento ser diferente entre regiões com diferentes níveis de desenvolvimento econômico. Nas regiões Sul e Sudeste, as mais desenvolvidas economicamente como indica seus níveis de PIB </w:t>
      </w:r>
      <w:r>
        <w:rPr>
          <w:rFonts w:ascii="Arial" w:hAnsi="Arial" w:cs="Arial"/>
          <w:i/>
          <w:iCs/>
        </w:rPr>
        <w:t>per capita</w:t>
      </w:r>
      <w:r>
        <w:rPr>
          <w:rFonts w:ascii="Arial" w:hAnsi="Arial" w:cs="Arial"/>
        </w:rPr>
        <w:t xml:space="preserve"> a autonomia de arrecadação é promotora do crescimento, enquanto que no Centro-Oeste, no Nordeste e no Norte, o aspecto de descentralização importante é a descentralização de receitas. Este tipo de indicação já foi apresentado nos trabalhos de</w:t>
      </w:r>
      <w:r w:rsidR="00F4484A">
        <w:rPr>
          <w:rFonts w:ascii="Arial" w:hAnsi="Arial" w:cs="Arial"/>
        </w:rPr>
        <w:t xml:space="preserve"> Yushko (2015), que ao analisar o caso da R</w:t>
      </w:r>
      <w:r w:rsidR="00F00DB0">
        <w:rPr>
          <w:rFonts w:ascii="Arial" w:hAnsi="Arial" w:cs="Arial"/>
        </w:rPr>
        <w:t>ú</w:t>
      </w:r>
      <w:r w:rsidR="00F4484A">
        <w:rPr>
          <w:rFonts w:ascii="Arial" w:hAnsi="Arial" w:cs="Arial"/>
        </w:rPr>
        <w:t xml:space="preserve">ssia conclui que o estágio de descentralização </w:t>
      </w:r>
      <w:r w:rsidR="00BF0D81">
        <w:rPr>
          <w:rFonts w:ascii="Arial" w:hAnsi="Arial" w:cs="Arial"/>
        </w:rPr>
        <w:t>intrarregional</w:t>
      </w:r>
      <w:r w:rsidR="00F4484A">
        <w:rPr>
          <w:rFonts w:ascii="Arial" w:hAnsi="Arial" w:cs="Arial"/>
        </w:rPr>
        <w:t xml:space="preserve"> e o sistema de relações intergovernamentais é um aspecto importante para aproveitar as vantagens da descentralização fiscal na promoção do desenvolvimento local.</w:t>
      </w:r>
      <w:r>
        <w:rPr>
          <w:rFonts w:ascii="Arial" w:hAnsi="Arial" w:cs="Arial"/>
        </w:rPr>
        <w:t xml:space="preserve"> Lozano e Julio (2016)</w:t>
      </w:r>
      <w:r w:rsidR="00F4484A">
        <w:rPr>
          <w:rFonts w:ascii="Arial" w:hAnsi="Arial" w:cs="Arial"/>
        </w:rPr>
        <w:t xml:space="preserve"> têm conclusões no mesmo sentido.</w:t>
      </w:r>
      <w:r>
        <w:rPr>
          <w:rFonts w:ascii="Arial" w:hAnsi="Arial" w:cs="Arial"/>
        </w:rPr>
        <w:t>, demonstraram que no caso colombiano, o crescimento econômico promovido pela descentralização é altamente relacionado ao nível de desenvolvimento da economia local.</w:t>
      </w:r>
      <w:r w:rsidR="00F4484A">
        <w:rPr>
          <w:rFonts w:ascii="Arial" w:hAnsi="Arial" w:cs="Arial"/>
        </w:rPr>
        <w:t xml:space="preserve"> Slavinskaite (2016), com a análise de países pertencentes à OCDE conclui que há alto nível de correlação entre descentralização e promoção do crescimento econômico em países com baixo nível de desenvolvimento e pouca ou nenhuma relação nos países com alto desenvolvimento.</w:t>
      </w:r>
    </w:p>
    <w:p w14:paraId="26725052" w14:textId="747C8E77" w:rsidR="006140C8" w:rsidRDefault="006140C8" w:rsidP="00A70177">
      <w:pPr>
        <w:spacing w:line="360" w:lineRule="auto"/>
        <w:jc w:val="both"/>
        <w:rPr>
          <w:rFonts w:ascii="Arial" w:hAnsi="Arial" w:cs="Arial"/>
        </w:rPr>
      </w:pPr>
      <w:r>
        <w:rPr>
          <w:rFonts w:ascii="Arial" w:hAnsi="Arial" w:cs="Arial"/>
        </w:rPr>
        <w:tab/>
      </w:r>
      <w:r w:rsidR="00555499">
        <w:rPr>
          <w:rFonts w:ascii="Arial" w:hAnsi="Arial" w:cs="Arial"/>
        </w:rPr>
        <w:t>Os resultados deste trabalho indicam que o uso da descentralização fiscal para promoção do crescimento econômico é eficiente no Brasil, entretanto, a forma de implementação nas regiões Centro-Oeste, Nordeste e Norte deve ser diferente do Sudeste e Sul. Nas três primeiras, deve se dar por meio da descentralização de receitas, conforme medido pelo Indicador 1, desta forma, promover-se-ia o crescimento da região e possivelmente a elevação do PIB</w:t>
      </w:r>
      <w:r w:rsidR="00555499">
        <w:rPr>
          <w:rFonts w:ascii="Arial" w:hAnsi="Arial" w:cs="Arial"/>
          <w:i/>
          <w:iCs/>
        </w:rPr>
        <w:t xml:space="preserve"> per capita</w:t>
      </w:r>
      <w:r w:rsidR="00555499">
        <w:rPr>
          <w:rFonts w:ascii="Arial" w:hAnsi="Arial" w:cs="Arial"/>
        </w:rPr>
        <w:t xml:space="preserve"> até o ponto em que a descentralização por meio da concessão de maior autonomia arrecadatória aos entes locais promovesse a continuidade deste crescimento. Já nas regiões </w:t>
      </w:r>
      <w:r w:rsidR="00F00DB0">
        <w:rPr>
          <w:rFonts w:ascii="Arial" w:hAnsi="Arial" w:cs="Arial"/>
        </w:rPr>
        <w:t>Sudeste</w:t>
      </w:r>
      <w:r w:rsidR="00555499">
        <w:rPr>
          <w:rFonts w:ascii="Arial" w:hAnsi="Arial" w:cs="Arial"/>
        </w:rPr>
        <w:t xml:space="preserve"> e Sul, que se encontram em um outro estágio de desenvolvimento econômico, a concessão de autonomia </w:t>
      </w:r>
      <w:r w:rsidR="00555499">
        <w:rPr>
          <w:rFonts w:ascii="Arial" w:hAnsi="Arial" w:cs="Arial"/>
        </w:rPr>
        <w:lastRenderedPageBreak/>
        <w:t>arrecadatória já é eficiente para a promoção do desenvolvimento. Ao alcançar níveis maiores de renda, o aumento da descentralização pode deixar de ser um fator relevante, como indicou Slavinskaite (2016).</w:t>
      </w:r>
    </w:p>
    <w:p w14:paraId="30BE7833" w14:textId="29CB1086" w:rsidR="006714C6" w:rsidRDefault="00555499" w:rsidP="00A70177">
      <w:pPr>
        <w:spacing w:line="360" w:lineRule="auto"/>
        <w:jc w:val="both"/>
        <w:rPr>
          <w:rFonts w:ascii="Arial" w:hAnsi="Arial" w:cs="Arial"/>
        </w:rPr>
      </w:pPr>
      <w:r>
        <w:rPr>
          <w:rFonts w:ascii="Arial" w:hAnsi="Arial" w:cs="Arial"/>
        </w:rPr>
        <w:tab/>
        <w:t>Como sugestão para</w:t>
      </w:r>
      <w:r w:rsidR="00802836">
        <w:rPr>
          <w:rFonts w:ascii="Arial" w:hAnsi="Arial" w:cs="Arial"/>
        </w:rPr>
        <w:t xml:space="preserve"> pesquisas futuras,</w:t>
      </w:r>
      <w:r>
        <w:rPr>
          <w:rFonts w:ascii="Arial" w:hAnsi="Arial" w:cs="Arial"/>
        </w:rPr>
        <w:t xml:space="preserve"> a obtenção de indicadores mais adequados para os aspectos social, educacional, segurança e saúde pode contribuir para obter um modelo que descreva melhor o crescimento econômico. O período de tempo de dados disponíveis não permitiu a avaliação de um modelo de efeitos aleatórios, assim,</w:t>
      </w:r>
      <w:r w:rsidR="00802836">
        <w:rPr>
          <w:rFonts w:ascii="Arial" w:hAnsi="Arial" w:cs="Arial"/>
        </w:rPr>
        <w:t xml:space="preserve"> quanto</w:t>
      </w:r>
      <w:r>
        <w:rPr>
          <w:rFonts w:ascii="Arial" w:hAnsi="Arial" w:cs="Arial"/>
        </w:rPr>
        <w:t xml:space="preserve"> mais informações estiverem disponíveis é interessante verificar se a aplicação deste modelo econométrico é viável para o caso em análise. Estender o estudo para outros níveis da federação, como os municípios também </w:t>
      </w:r>
      <w:r w:rsidR="006714C6">
        <w:rPr>
          <w:rFonts w:ascii="Arial" w:hAnsi="Arial" w:cs="Arial"/>
        </w:rPr>
        <w:t>seria uma contribuição interessante ao tema, entretanto, a obtenção dos dados confiáveis neste caso é mais complexa.</w:t>
      </w:r>
    </w:p>
    <w:p w14:paraId="563E450C" w14:textId="0E93797E" w:rsidR="00555499" w:rsidRPr="00555499" w:rsidRDefault="006714C6" w:rsidP="006714C6">
      <w:pPr>
        <w:rPr>
          <w:rFonts w:ascii="Arial" w:hAnsi="Arial" w:cs="Arial"/>
        </w:rPr>
      </w:pPr>
      <w:r>
        <w:rPr>
          <w:rFonts w:ascii="Arial" w:hAnsi="Arial" w:cs="Arial"/>
        </w:rPr>
        <w:br w:type="page"/>
      </w:r>
    </w:p>
    <w:p w14:paraId="13EE0A23" w14:textId="3D1A271C" w:rsidR="00511F5B" w:rsidRPr="00802836" w:rsidRDefault="00511F5B" w:rsidP="00802836">
      <w:pPr>
        <w:pStyle w:val="Ttulo"/>
      </w:pPr>
      <w:bookmarkStart w:id="19" w:name="_Toc16492071"/>
      <w:r w:rsidRPr="00802836">
        <w:lastRenderedPageBreak/>
        <w:t>Referências</w:t>
      </w:r>
      <w:bookmarkEnd w:id="19"/>
    </w:p>
    <w:p w14:paraId="2E07AB0C" w14:textId="63C5BC7A" w:rsidR="00511F5B" w:rsidRPr="00986E56" w:rsidRDefault="00511F5B" w:rsidP="007419FD">
      <w:pPr>
        <w:spacing w:line="360" w:lineRule="auto"/>
        <w:jc w:val="both"/>
        <w:rPr>
          <w:rFonts w:ascii="Arial" w:hAnsi="Arial" w:cs="Arial"/>
          <w:lang w:val="en-US"/>
        </w:rPr>
      </w:pPr>
    </w:p>
    <w:p w14:paraId="33DC73A1" w14:textId="002DC8BD" w:rsidR="007237AF" w:rsidRPr="00986E56" w:rsidRDefault="007237AF" w:rsidP="00D94D11">
      <w:pPr>
        <w:spacing w:line="360" w:lineRule="auto"/>
        <w:jc w:val="both"/>
        <w:rPr>
          <w:rFonts w:ascii="Arial" w:hAnsi="Arial" w:cs="Arial"/>
        </w:rPr>
      </w:pPr>
      <w:r w:rsidRPr="007237AF">
        <w:rPr>
          <w:rFonts w:ascii="Arial" w:hAnsi="Arial" w:cs="Arial"/>
          <w:lang w:val="en-US"/>
        </w:rPr>
        <w:t>AKAI, N.; SAKATA, M. Fiscal decentralization contributes to economic growth: evidence from state-level cross-section data for the United States</w:t>
      </w:r>
      <w:r>
        <w:rPr>
          <w:rFonts w:ascii="Arial" w:hAnsi="Arial" w:cs="Arial"/>
          <w:lang w:val="en-US"/>
        </w:rPr>
        <w:t xml:space="preserve">. </w:t>
      </w:r>
      <w:proofErr w:type="spellStart"/>
      <w:r w:rsidRPr="00986E56">
        <w:rPr>
          <w:rFonts w:ascii="Arial" w:hAnsi="Arial" w:cs="Arial"/>
          <w:b/>
          <w:bCs/>
        </w:rPr>
        <w:t>Journal</w:t>
      </w:r>
      <w:proofErr w:type="spellEnd"/>
      <w:r w:rsidRPr="00986E56">
        <w:rPr>
          <w:rFonts w:ascii="Arial" w:hAnsi="Arial" w:cs="Arial"/>
          <w:b/>
          <w:bCs/>
        </w:rPr>
        <w:t xml:space="preserve"> </w:t>
      </w:r>
      <w:proofErr w:type="spellStart"/>
      <w:r w:rsidRPr="00986E56">
        <w:rPr>
          <w:rFonts w:ascii="Arial" w:hAnsi="Arial" w:cs="Arial"/>
          <w:b/>
          <w:bCs/>
        </w:rPr>
        <w:t>of</w:t>
      </w:r>
      <w:proofErr w:type="spellEnd"/>
      <w:r w:rsidRPr="00986E56">
        <w:rPr>
          <w:rFonts w:ascii="Arial" w:hAnsi="Arial" w:cs="Arial"/>
          <w:b/>
          <w:bCs/>
        </w:rPr>
        <w:t xml:space="preserve"> </w:t>
      </w:r>
      <w:proofErr w:type="spellStart"/>
      <w:r w:rsidRPr="00986E56">
        <w:rPr>
          <w:rFonts w:ascii="Arial" w:hAnsi="Arial" w:cs="Arial"/>
          <w:b/>
          <w:bCs/>
        </w:rPr>
        <w:t>Urban</w:t>
      </w:r>
      <w:proofErr w:type="spellEnd"/>
      <w:r w:rsidRPr="00986E56">
        <w:rPr>
          <w:rFonts w:ascii="Arial" w:hAnsi="Arial" w:cs="Arial"/>
          <w:b/>
          <w:bCs/>
        </w:rPr>
        <w:t xml:space="preserve"> </w:t>
      </w:r>
      <w:proofErr w:type="spellStart"/>
      <w:r w:rsidRPr="00986E56">
        <w:rPr>
          <w:rFonts w:ascii="Arial" w:hAnsi="Arial" w:cs="Arial"/>
          <w:b/>
          <w:bCs/>
        </w:rPr>
        <w:t>Economics</w:t>
      </w:r>
      <w:proofErr w:type="spellEnd"/>
      <w:r w:rsidRPr="00986E56">
        <w:rPr>
          <w:rFonts w:ascii="Arial" w:hAnsi="Arial" w:cs="Arial"/>
        </w:rPr>
        <w:t>, Elsevier, vol. 52, n. 1, p. 93-108, 2002.</w:t>
      </w:r>
    </w:p>
    <w:p w14:paraId="777AA537" w14:textId="372135C7" w:rsidR="007237AF" w:rsidRPr="00986E56" w:rsidRDefault="007237AF" w:rsidP="00D94D11">
      <w:pPr>
        <w:spacing w:line="360" w:lineRule="auto"/>
        <w:jc w:val="both"/>
        <w:rPr>
          <w:rFonts w:ascii="Arial" w:hAnsi="Arial" w:cs="Arial"/>
        </w:rPr>
      </w:pPr>
    </w:p>
    <w:p w14:paraId="1018F2D4" w14:textId="413D9449" w:rsidR="007237AF" w:rsidRDefault="007237AF" w:rsidP="00D94D11">
      <w:pPr>
        <w:spacing w:line="360" w:lineRule="auto"/>
        <w:jc w:val="both"/>
        <w:rPr>
          <w:rFonts w:ascii="Arial" w:hAnsi="Arial" w:cs="Arial"/>
        </w:rPr>
      </w:pPr>
      <w:r w:rsidRPr="007237AF">
        <w:rPr>
          <w:rFonts w:ascii="Arial" w:hAnsi="Arial" w:cs="Arial"/>
        </w:rPr>
        <w:t xml:space="preserve">ARVATE, P. R.; BIDERMAN, C. </w:t>
      </w:r>
      <w:r w:rsidRPr="007237AF">
        <w:rPr>
          <w:rFonts w:ascii="Arial" w:hAnsi="Arial" w:cs="Arial"/>
          <w:b/>
          <w:bCs/>
        </w:rPr>
        <w:t>Economia do Setor Público no Brasil</w:t>
      </w:r>
      <w:r w:rsidRPr="007237AF">
        <w:rPr>
          <w:rFonts w:ascii="Arial" w:hAnsi="Arial" w:cs="Arial"/>
        </w:rPr>
        <w:t>. Rio de Janeiro: Elsevier: Campus, 2004.</w:t>
      </w:r>
    </w:p>
    <w:p w14:paraId="726E8A29" w14:textId="15B73857" w:rsidR="007237AF" w:rsidRDefault="007237AF" w:rsidP="00D94D11">
      <w:pPr>
        <w:spacing w:line="360" w:lineRule="auto"/>
        <w:jc w:val="both"/>
        <w:rPr>
          <w:rFonts w:ascii="Arial" w:hAnsi="Arial" w:cs="Arial"/>
        </w:rPr>
      </w:pPr>
    </w:p>
    <w:p w14:paraId="3864F1FA" w14:textId="13A3DBDD" w:rsidR="00321D5F" w:rsidRPr="00321D5F" w:rsidRDefault="007237AF" w:rsidP="00D94D11">
      <w:pPr>
        <w:contextualSpacing/>
        <w:jc w:val="both"/>
        <w:rPr>
          <w:rFonts w:ascii="Arial" w:hAnsi="Arial" w:cs="Arial"/>
          <w:lang w:val="en-US"/>
        </w:rPr>
      </w:pPr>
      <w:r w:rsidRPr="007237AF">
        <w:rPr>
          <w:rFonts w:ascii="Arial" w:hAnsi="Arial" w:cs="Arial"/>
          <w:lang w:val="en-US"/>
        </w:rPr>
        <w:t xml:space="preserve">BALTAGI, B. H. </w:t>
      </w:r>
      <w:r w:rsidRPr="00321D5F">
        <w:rPr>
          <w:rFonts w:ascii="Arial" w:hAnsi="Arial" w:cs="Arial"/>
          <w:b/>
          <w:bCs/>
          <w:lang w:val="en-US"/>
        </w:rPr>
        <w:t>Econometric Analysis of Panel Data</w:t>
      </w:r>
      <w:r w:rsidRPr="007237AF">
        <w:rPr>
          <w:rFonts w:ascii="Arial" w:hAnsi="Arial" w:cs="Arial"/>
          <w:lang w:val="en-US"/>
        </w:rPr>
        <w:t xml:space="preserve">. 5 ed. </w:t>
      </w:r>
      <w:r w:rsidRPr="00321D5F">
        <w:rPr>
          <w:rFonts w:ascii="Arial" w:hAnsi="Arial" w:cs="Arial"/>
          <w:lang w:val="en-US"/>
        </w:rPr>
        <w:t>London: John Wiley &amp; Sons</w:t>
      </w:r>
      <w:r w:rsidR="00321D5F" w:rsidRPr="00321D5F">
        <w:rPr>
          <w:rFonts w:ascii="Arial" w:hAnsi="Arial" w:cs="Arial"/>
          <w:lang w:val="en-US"/>
        </w:rPr>
        <w:t>, 2013</w:t>
      </w:r>
    </w:p>
    <w:p w14:paraId="30F91562" w14:textId="1036712C" w:rsidR="007237AF" w:rsidRDefault="007237AF" w:rsidP="00D94D11">
      <w:pPr>
        <w:spacing w:line="360" w:lineRule="auto"/>
        <w:jc w:val="both"/>
        <w:rPr>
          <w:rFonts w:ascii="Arial" w:hAnsi="Arial" w:cs="Arial"/>
          <w:lang w:val="en-US"/>
        </w:rPr>
      </w:pPr>
    </w:p>
    <w:p w14:paraId="59D713D0" w14:textId="5B16B70B" w:rsidR="00321D5F" w:rsidRPr="00986E56" w:rsidRDefault="00321D5F" w:rsidP="00D94D11">
      <w:pPr>
        <w:spacing w:line="360" w:lineRule="auto"/>
        <w:jc w:val="both"/>
        <w:rPr>
          <w:rFonts w:ascii="Arial" w:hAnsi="Arial" w:cs="Arial"/>
          <w:lang w:val="en-US"/>
        </w:rPr>
      </w:pPr>
      <w:r w:rsidRPr="00133B33">
        <w:rPr>
          <w:rFonts w:ascii="Arial" w:hAnsi="Arial" w:cs="Arial"/>
          <w:lang w:val="en-US"/>
        </w:rPr>
        <w:t>BIRD, R.M.; VAILLANCOU</w:t>
      </w:r>
      <w:r>
        <w:rPr>
          <w:rFonts w:ascii="Arial" w:hAnsi="Arial" w:cs="Arial"/>
          <w:lang w:val="en-US"/>
        </w:rPr>
        <w:t>R</w:t>
      </w:r>
      <w:r w:rsidRPr="00133B33">
        <w:rPr>
          <w:rFonts w:ascii="Arial" w:hAnsi="Arial" w:cs="Arial"/>
          <w:lang w:val="en-US"/>
        </w:rPr>
        <w:t>T, F</w:t>
      </w:r>
      <w:r>
        <w:rPr>
          <w:rFonts w:ascii="Arial" w:hAnsi="Arial" w:cs="Arial"/>
          <w:lang w:val="en-US"/>
        </w:rPr>
        <w:t xml:space="preserve">. </w:t>
      </w:r>
      <w:r>
        <w:rPr>
          <w:rFonts w:ascii="Arial" w:hAnsi="Arial" w:cs="Arial"/>
          <w:b/>
          <w:lang w:val="en-US"/>
        </w:rPr>
        <w:t>Fiscal Decentralization in Developing Countries</w:t>
      </w:r>
      <w:r>
        <w:rPr>
          <w:rFonts w:ascii="Arial" w:hAnsi="Arial" w:cs="Arial"/>
          <w:lang w:val="en-US"/>
        </w:rPr>
        <w:t xml:space="preserve">. </w:t>
      </w:r>
      <w:r w:rsidRPr="00986E56">
        <w:rPr>
          <w:rFonts w:ascii="Arial" w:hAnsi="Arial" w:cs="Arial"/>
          <w:lang w:val="en-US"/>
        </w:rPr>
        <w:t xml:space="preserve">Cambridge University Press, Cambridge, </w:t>
      </w:r>
      <w:proofErr w:type="spellStart"/>
      <w:r w:rsidRPr="00986E56">
        <w:rPr>
          <w:rFonts w:ascii="Arial" w:hAnsi="Arial" w:cs="Arial"/>
          <w:lang w:val="en-US"/>
        </w:rPr>
        <w:t>Reino</w:t>
      </w:r>
      <w:proofErr w:type="spellEnd"/>
      <w:r w:rsidRPr="00986E56">
        <w:rPr>
          <w:rFonts w:ascii="Arial" w:hAnsi="Arial" w:cs="Arial"/>
          <w:lang w:val="en-US"/>
        </w:rPr>
        <w:t xml:space="preserve"> </w:t>
      </w:r>
      <w:proofErr w:type="spellStart"/>
      <w:r w:rsidRPr="00986E56">
        <w:rPr>
          <w:rFonts w:ascii="Arial" w:hAnsi="Arial" w:cs="Arial"/>
          <w:lang w:val="en-US"/>
        </w:rPr>
        <w:t>Unido</w:t>
      </w:r>
      <w:proofErr w:type="spellEnd"/>
      <w:r w:rsidRPr="00986E56">
        <w:rPr>
          <w:rFonts w:ascii="Arial" w:hAnsi="Arial" w:cs="Arial"/>
          <w:lang w:val="en-US"/>
        </w:rPr>
        <w:t>, 1998.</w:t>
      </w:r>
    </w:p>
    <w:p w14:paraId="13A06E31" w14:textId="34C84802" w:rsidR="00321D5F" w:rsidRPr="00986E56" w:rsidRDefault="00321D5F" w:rsidP="00D94D11">
      <w:pPr>
        <w:spacing w:line="360" w:lineRule="auto"/>
        <w:jc w:val="both"/>
        <w:rPr>
          <w:rFonts w:ascii="Arial" w:hAnsi="Arial" w:cs="Arial"/>
          <w:lang w:val="en-US"/>
        </w:rPr>
      </w:pPr>
    </w:p>
    <w:p w14:paraId="027F382B" w14:textId="0BD27232" w:rsidR="00321D5F" w:rsidRPr="00321D5F" w:rsidRDefault="00321D5F" w:rsidP="00D94D11">
      <w:pPr>
        <w:spacing w:line="360" w:lineRule="auto"/>
        <w:jc w:val="both"/>
        <w:rPr>
          <w:rFonts w:ascii="Arial" w:hAnsi="Arial" w:cs="Arial"/>
          <w:lang w:val="en-US"/>
        </w:rPr>
      </w:pPr>
      <w:r w:rsidRPr="00321D5F">
        <w:rPr>
          <w:rFonts w:ascii="Arial" w:hAnsi="Arial" w:cs="Arial"/>
          <w:lang w:val="en-US"/>
        </w:rPr>
        <w:t xml:space="preserve">DAVOODI, H.; ZOU, H. Fiscal decentralization and </w:t>
      </w:r>
      <w:r>
        <w:rPr>
          <w:rFonts w:ascii="Arial" w:hAnsi="Arial" w:cs="Arial"/>
          <w:lang w:val="en-US"/>
        </w:rPr>
        <w:t xml:space="preserve">economic growth: a cross-country study. </w:t>
      </w:r>
      <w:r>
        <w:rPr>
          <w:rFonts w:ascii="Arial" w:hAnsi="Arial" w:cs="Arial"/>
          <w:b/>
          <w:bCs/>
          <w:lang w:val="en-US"/>
        </w:rPr>
        <w:t>Journal of Urban Economics</w:t>
      </w:r>
      <w:r>
        <w:rPr>
          <w:rFonts w:ascii="Arial" w:hAnsi="Arial" w:cs="Arial"/>
          <w:lang w:val="en-US"/>
        </w:rPr>
        <w:t>, vol. 43, p. 244-257, 1998.</w:t>
      </w:r>
    </w:p>
    <w:p w14:paraId="6FBB9C6A" w14:textId="237397E5" w:rsidR="00321D5F" w:rsidRDefault="00321D5F" w:rsidP="00D94D11">
      <w:pPr>
        <w:spacing w:line="360" w:lineRule="auto"/>
        <w:jc w:val="both"/>
        <w:rPr>
          <w:rFonts w:ascii="Arial" w:hAnsi="Arial" w:cs="Arial"/>
          <w:lang w:val="en-US"/>
        </w:rPr>
      </w:pPr>
    </w:p>
    <w:p w14:paraId="2496FAB8" w14:textId="24F11212" w:rsidR="00321D5F" w:rsidRPr="00986E56" w:rsidRDefault="00321D5F" w:rsidP="00D94D11">
      <w:pPr>
        <w:spacing w:line="360" w:lineRule="auto"/>
        <w:jc w:val="both"/>
        <w:rPr>
          <w:rFonts w:ascii="Arial" w:hAnsi="Arial" w:cs="Arial"/>
        </w:rPr>
      </w:pPr>
      <w:r>
        <w:rPr>
          <w:rFonts w:ascii="Arial" w:hAnsi="Arial" w:cs="Arial"/>
          <w:lang w:val="en-US"/>
        </w:rPr>
        <w:t xml:space="preserve">GEMMELL, N.; KNELLER, R.; SANZ, I. Fiscal decentralization and economic growth: spending versus revenue decentralization. </w:t>
      </w:r>
      <w:proofErr w:type="spellStart"/>
      <w:r w:rsidRPr="00986E56">
        <w:rPr>
          <w:rFonts w:ascii="Arial" w:hAnsi="Arial" w:cs="Arial"/>
          <w:b/>
          <w:bCs/>
        </w:rPr>
        <w:t>Economic</w:t>
      </w:r>
      <w:proofErr w:type="spellEnd"/>
      <w:r w:rsidRPr="00986E56">
        <w:rPr>
          <w:rFonts w:ascii="Arial" w:hAnsi="Arial" w:cs="Arial"/>
          <w:b/>
          <w:bCs/>
        </w:rPr>
        <w:t xml:space="preserve"> </w:t>
      </w:r>
      <w:proofErr w:type="spellStart"/>
      <w:r w:rsidRPr="00986E56">
        <w:rPr>
          <w:rFonts w:ascii="Arial" w:hAnsi="Arial" w:cs="Arial"/>
          <w:b/>
          <w:bCs/>
        </w:rPr>
        <w:t>Inquiry</w:t>
      </w:r>
      <w:proofErr w:type="spellEnd"/>
      <w:r w:rsidRPr="00986E56">
        <w:rPr>
          <w:rFonts w:ascii="Arial" w:hAnsi="Arial" w:cs="Arial"/>
        </w:rPr>
        <w:t xml:space="preserve">. </w:t>
      </w:r>
      <w:r w:rsidR="00650A14" w:rsidRPr="00986E56">
        <w:rPr>
          <w:rFonts w:ascii="Arial" w:hAnsi="Arial" w:cs="Arial"/>
        </w:rPr>
        <w:t>vol</w:t>
      </w:r>
      <w:r w:rsidRPr="00986E56">
        <w:rPr>
          <w:rFonts w:ascii="Arial" w:hAnsi="Arial" w:cs="Arial"/>
        </w:rPr>
        <w:t>. 51, n. 4, p. 1915-1931, 2013.</w:t>
      </w:r>
    </w:p>
    <w:p w14:paraId="2C4BBBAB" w14:textId="523DD3FC" w:rsidR="00321D5F" w:rsidRPr="00986E56" w:rsidRDefault="00321D5F" w:rsidP="00D94D11">
      <w:pPr>
        <w:spacing w:line="360" w:lineRule="auto"/>
        <w:jc w:val="both"/>
        <w:rPr>
          <w:rFonts w:ascii="Arial" w:hAnsi="Arial" w:cs="Arial"/>
        </w:rPr>
      </w:pPr>
    </w:p>
    <w:p w14:paraId="28FA497C" w14:textId="20039385" w:rsidR="00321D5F" w:rsidRPr="00321D5F" w:rsidRDefault="00321D5F" w:rsidP="00D94D11">
      <w:pPr>
        <w:spacing w:line="360" w:lineRule="auto"/>
        <w:jc w:val="both"/>
        <w:rPr>
          <w:rFonts w:ascii="Arial" w:hAnsi="Arial" w:cs="Arial"/>
        </w:rPr>
      </w:pPr>
      <w:r w:rsidRPr="00321D5F">
        <w:rPr>
          <w:rFonts w:ascii="Arial" w:hAnsi="Arial" w:cs="Arial"/>
        </w:rPr>
        <w:t xml:space="preserve">GIAMBIAGI, Fábio; ALÉM, Ana Cláudia. </w:t>
      </w:r>
      <w:r w:rsidRPr="00321D5F">
        <w:rPr>
          <w:rFonts w:ascii="Arial" w:hAnsi="Arial" w:cs="Arial"/>
          <w:b/>
          <w:bCs/>
        </w:rPr>
        <w:t>Finanças públicas</w:t>
      </w:r>
      <w:r w:rsidRPr="00321D5F">
        <w:rPr>
          <w:rFonts w:ascii="Arial" w:hAnsi="Arial" w:cs="Arial"/>
        </w:rPr>
        <w:t>: teoria e prática no Brasil. Rio de Janeiro: Campus, 2000.</w:t>
      </w:r>
    </w:p>
    <w:p w14:paraId="0662762C" w14:textId="443F2B56" w:rsidR="00321D5F" w:rsidRDefault="00321D5F" w:rsidP="00D94D11">
      <w:pPr>
        <w:spacing w:line="360" w:lineRule="auto"/>
        <w:jc w:val="both"/>
        <w:rPr>
          <w:rFonts w:ascii="Arial" w:hAnsi="Arial" w:cs="Arial"/>
        </w:rPr>
      </w:pPr>
    </w:p>
    <w:p w14:paraId="466E49CC" w14:textId="25BEB412" w:rsidR="00321D5F" w:rsidRDefault="00321D5F" w:rsidP="00D94D11">
      <w:pPr>
        <w:spacing w:line="360" w:lineRule="auto"/>
        <w:jc w:val="both"/>
        <w:rPr>
          <w:rFonts w:ascii="Arial" w:hAnsi="Arial" w:cs="Arial"/>
        </w:rPr>
      </w:pPr>
      <w:r w:rsidRPr="00321D5F">
        <w:rPr>
          <w:rFonts w:ascii="Arial" w:hAnsi="Arial" w:cs="Arial"/>
        </w:rPr>
        <w:t xml:space="preserve">GUEDES, K. P.; GASPARINI, C. E. Descentralização fiscal e tamanho do governo no Brasil. </w:t>
      </w:r>
      <w:r w:rsidRPr="00321D5F">
        <w:rPr>
          <w:rFonts w:ascii="Arial" w:hAnsi="Arial" w:cs="Arial"/>
          <w:b/>
          <w:bCs/>
        </w:rPr>
        <w:t>Economia Aplicada</w:t>
      </w:r>
      <w:r w:rsidRPr="00321D5F">
        <w:rPr>
          <w:rFonts w:ascii="Arial" w:hAnsi="Arial" w:cs="Arial"/>
        </w:rPr>
        <w:t>, v</w:t>
      </w:r>
      <w:r w:rsidR="00650A14">
        <w:rPr>
          <w:rFonts w:ascii="Arial" w:hAnsi="Arial" w:cs="Arial"/>
        </w:rPr>
        <w:t>ol</w:t>
      </w:r>
      <w:r w:rsidRPr="00321D5F">
        <w:rPr>
          <w:rFonts w:ascii="Arial" w:hAnsi="Arial" w:cs="Arial"/>
        </w:rPr>
        <w:t>. 11, n. 2, p. 303-323, São Paulo, abril-junho 2007.</w:t>
      </w:r>
    </w:p>
    <w:p w14:paraId="1E046D0B" w14:textId="15B62A4D" w:rsidR="00321D5F" w:rsidRDefault="00321D5F" w:rsidP="00D94D11">
      <w:pPr>
        <w:spacing w:line="360" w:lineRule="auto"/>
        <w:jc w:val="both"/>
        <w:rPr>
          <w:rFonts w:ascii="Arial" w:hAnsi="Arial" w:cs="Arial"/>
        </w:rPr>
      </w:pPr>
    </w:p>
    <w:p w14:paraId="08819375" w14:textId="7C575D88" w:rsidR="00321D5F" w:rsidRDefault="00321D5F" w:rsidP="00D94D11">
      <w:pPr>
        <w:spacing w:line="360" w:lineRule="auto"/>
        <w:jc w:val="both"/>
        <w:rPr>
          <w:rFonts w:ascii="Arial" w:hAnsi="Arial" w:cs="Arial"/>
        </w:rPr>
      </w:pPr>
      <w:r w:rsidRPr="00321D5F">
        <w:rPr>
          <w:rFonts w:ascii="Arial" w:hAnsi="Arial" w:cs="Arial"/>
        </w:rPr>
        <w:t xml:space="preserve">GUJARATI, D. N. </w:t>
      </w:r>
      <w:r w:rsidRPr="00321D5F">
        <w:rPr>
          <w:rFonts w:ascii="Arial" w:hAnsi="Arial" w:cs="Arial"/>
          <w:b/>
          <w:bCs/>
        </w:rPr>
        <w:t>Econometria Básica</w:t>
      </w:r>
      <w:r w:rsidRPr="00321D5F">
        <w:rPr>
          <w:rFonts w:ascii="Arial" w:hAnsi="Arial" w:cs="Arial"/>
        </w:rPr>
        <w:t>. Tradução da 4ª Edição. Rio de Janeiro: Elsevier</w:t>
      </w:r>
      <w:r w:rsidR="00650A14">
        <w:rPr>
          <w:rFonts w:ascii="Arial" w:hAnsi="Arial" w:cs="Arial"/>
        </w:rPr>
        <w:t>, 2006.</w:t>
      </w:r>
    </w:p>
    <w:p w14:paraId="77D6F5F9" w14:textId="3EAC34CD" w:rsidR="00321D5F" w:rsidRDefault="00321D5F" w:rsidP="00D94D11">
      <w:pPr>
        <w:spacing w:line="360" w:lineRule="auto"/>
        <w:jc w:val="both"/>
        <w:rPr>
          <w:rFonts w:ascii="Arial" w:hAnsi="Arial" w:cs="Arial"/>
        </w:rPr>
      </w:pPr>
    </w:p>
    <w:p w14:paraId="6F7262D4" w14:textId="758DA8E9" w:rsidR="00650A14" w:rsidRPr="00650A14" w:rsidRDefault="00650A14" w:rsidP="00D94D11">
      <w:pPr>
        <w:spacing w:line="360" w:lineRule="auto"/>
        <w:jc w:val="both"/>
        <w:rPr>
          <w:rFonts w:ascii="Arial" w:hAnsi="Arial" w:cs="Arial"/>
          <w:lang w:val="en-US"/>
        </w:rPr>
      </w:pPr>
      <w:r w:rsidRPr="00650A14">
        <w:rPr>
          <w:rFonts w:ascii="Arial" w:hAnsi="Arial" w:cs="Arial"/>
          <w:lang w:val="en-US"/>
        </w:rPr>
        <w:lastRenderedPageBreak/>
        <w:t xml:space="preserve">HAUSMAN, J. A. Specification Tests in Econometrics. </w:t>
      </w:r>
      <w:proofErr w:type="spellStart"/>
      <w:r w:rsidRPr="00650A14">
        <w:rPr>
          <w:rFonts w:ascii="Arial" w:hAnsi="Arial" w:cs="Arial"/>
          <w:b/>
          <w:bCs/>
          <w:lang w:val="en-US"/>
        </w:rPr>
        <w:t>Econometrica</w:t>
      </w:r>
      <w:proofErr w:type="spellEnd"/>
      <w:r w:rsidRPr="00650A14">
        <w:rPr>
          <w:rFonts w:ascii="Arial" w:hAnsi="Arial" w:cs="Arial"/>
          <w:lang w:val="en-US"/>
        </w:rPr>
        <w:t>, v</w:t>
      </w:r>
      <w:r>
        <w:rPr>
          <w:rFonts w:ascii="Arial" w:hAnsi="Arial" w:cs="Arial"/>
          <w:lang w:val="en-US"/>
        </w:rPr>
        <w:t>ol</w:t>
      </w:r>
      <w:r w:rsidRPr="00650A14">
        <w:rPr>
          <w:rFonts w:ascii="Arial" w:hAnsi="Arial" w:cs="Arial"/>
          <w:lang w:val="en-US"/>
        </w:rPr>
        <w:t>. 46, n. 6, p. 1251–1271, 1978</w:t>
      </w:r>
    </w:p>
    <w:p w14:paraId="2E38F644" w14:textId="37BDB554" w:rsidR="00650A14" w:rsidRDefault="00650A14" w:rsidP="00D94D11">
      <w:pPr>
        <w:spacing w:line="360" w:lineRule="auto"/>
        <w:jc w:val="both"/>
        <w:rPr>
          <w:rFonts w:ascii="Arial" w:hAnsi="Arial" w:cs="Arial"/>
          <w:lang w:val="en-US"/>
        </w:rPr>
      </w:pPr>
      <w:r w:rsidRPr="00650A14">
        <w:rPr>
          <w:rFonts w:ascii="Arial" w:hAnsi="Arial" w:cs="Arial"/>
          <w:lang w:val="en-US"/>
        </w:rPr>
        <w:t xml:space="preserve">HSIAO, C. </w:t>
      </w:r>
      <w:r w:rsidRPr="00650A14">
        <w:rPr>
          <w:rFonts w:ascii="Arial" w:hAnsi="Arial" w:cs="Arial"/>
          <w:b/>
          <w:bCs/>
          <w:lang w:val="en-US"/>
        </w:rPr>
        <w:t>Analysis of panel data</w:t>
      </w:r>
      <w:r w:rsidRPr="00650A14">
        <w:rPr>
          <w:rFonts w:ascii="Arial" w:hAnsi="Arial" w:cs="Arial"/>
          <w:lang w:val="en-US"/>
        </w:rPr>
        <w:t>. 2 ed. Cambridge: Cambridge University Press</w:t>
      </w:r>
      <w:r>
        <w:rPr>
          <w:rFonts w:ascii="Arial" w:hAnsi="Arial" w:cs="Arial"/>
          <w:lang w:val="en-US"/>
        </w:rPr>
        <w:t>, 2003.</w:t>
      </w:r>
    </w:p>
    <w:p w14:paraId="03E232D2" w14:textId="17C44F40" w:rsidR="00650A14" w:rsidRDefault="00650A14" w:rsidP="00D94D11">
      <w:pPr>
        <w:spacing w:line="360" w:lineRule="auto"/>
        <w:jc w:val="both"/>
        <w:rPr>
          <w:rFonts w:ascii="Arial" w:hAnsi="Arial" w:cs="Arial"/>
          <w:lang w:val="en-US"/>
        </w:rPr>
      </w:pPr>
    </w:p>
    <w:p w14:paraId="6120FD20" w14:textId="510E0687" w:rsidR="00650A14" w:rsidRDefault="00650A14" w:rsidP="00D94D11">
      <w:pPr>
        <w:spacing w:line="360" w:lineRule="auto"/>
        <w:jc w:val="both"/>
        <w:rPr>
          <w:rFonts w:ascii="Arial" w:hAnsi="Arial" w:cs="Arial"/>
          <w:lang w:val="en-US"/>
        </w:rPr>
      </w:pPr>
      <w:r>
        <w:rPr>
          <w:rFonts w:ascii="Arial" w:hAnsi="Arial" w:cs="Arial"/>
          <w:lang w:val="en-US"/>
        </w:rPr>
        <w:t xml:space="preserve">IIMI, A. Decentralization and economic growth revisited: an empirical note. </w:t>
      </w:r>
      <w:r>
        <w:rPr>
          <w:rFonts w:ascii="Arial" w:hAnsi="Arial" w:cs="Arial"/>
          <w:b/>
          <w:bCs/>
          <w:lang w:val="en-US"/>
        </w:rPr>
        <w:t>Journal of Urban Economics</w:t>
      </w:r>
      <w:r>
        <w:rPr>
          <w:rFonts w:ascii="Arial" w:hAnsi="Arial" w:cs="Arial"/>
          <w:lang w:val="en-US"/>
        </w:rPr>
        <w:t>, vol. 57, p. 449-461, 2005.</w:t>
      </w:r>
    </w:p>
    <w:p w14:paraId="641D14AA" w14:textId="4AAE9C18" w:rsidR="00650A14" w:rsidRDefault="00650A14" w:rsidP="00D94D11">
      <w:pPr>
        <w:spacing w:line="360" w:lineRule="auto"/>
        <w:jc w:val="both"/>
        <w:rPr>
          <w:rFonts w:ascii="Arial" w:hAnsi="Arial" w:cs="Arial"/>
          <w:lang w:val="en-US"/>
        </w:rPr>
      </w:pPr>
    </w:p>
    <w:p w14:paraId="27A7127F" w14:textId="7A61AED8" w:rsidR="00650A14" w:rsidRPr="00986E56" w:rsidRDefault="00650A14" w:rsidP="00D94D11">
      <w:pPr>
        <w:spacing w:line="360" w:lineRule="auto"/>
        <w:jc w:val="both"/>
        <w:rPr>
          <w:rFonts w:ascii="Arial" w:hAnsi="Arial" w:cs="Arial"/>
        </w:rPr>
      </w:pPr>
      <w:r w:rsidRPr="00650A14">
        <w:rPr>
          <w:rFonts w:ascii="Arial" w:hAnsi="Arial" w:cs="Arial"/>
          <w:lang w:val="en-US"/>
        </w:rPr>
        <w:t>LOZANO, I.; JULIO, M.; Fiscal decentralization and economic growth</w:t>
      </w:r>
      <w:r>
        <w:rPr>
          <w:rFonts w:ascii="Arial" w:hAnsi="Arial" w:cs="Arial"/>
          <w:lang w:val="en-US"/>
        </w:rPr>
        <w:t xml:space="preserve"> in Colombia: evidence from regional-level panel data. </w:t>
      </w:r>
      <w:r w:rsidRPr="00986E56">
        <w:rPr>
          <w:rFonts w:ascii="Arial" w:hAnsi="Arial" w:cs="Arial"/>
          <w:b/>
          <w:bCs/>
        </w:rPr>
        <w:t>Cepal Review</w:t>
      </w:r>
      <w:r w:rsidRPr="00986E56">
        <w:rPr>
          <w:rFonts w:ascii="Arial" w:hAnsi="Arial" w:cs="Arial"/>
        </w:rPr>
        <w:t>, vol. 119, p. 65-82, 2016.</w:t>
      </w:r>
    </w:p>
    <w:p w14:paraId="107D8D42" w14:textId="3BA0C8F6" w:rsidR="00650A14" w:rsidRPr="00986E56" w:rsidRDefault="00650A14" w:rsidP="00D94D11">
      <w:pPr>
        <w:spacing w:line="360" w:lineRule="auto"/>
        <w:jc w:val="both"/>
        <w:rPr>
          <w:rFonts w:ascii="Arial" w:hAnsi="Arial" w:cs="Arial"/>
        </w:rPr>
      </w:pPr>
    </w:p>
    <w:p w14:paraId="224A50BF" w14:textId="66FD3AB5" w:rsidR="00650A14" w:rsidRPr="00650A14" w:rsidRDefault="00650A14" w:rsidP="00D94D11">
      <w:pPr>
        <w:spacing w:line="360" w:lineRule="auto"/>
        <w:jc w:val="both"/>
        <w:rPr>
          <w:rFonts w:ascii="Arial" w:hAnsi="Arial" w:cs="Arial"/>
        </w:rPr>
      </w:pPr>
      <w:r w:rsidRPr="00650A14">
        <w:rPr>
          <w:rFonts w:ascii="Arial" w:hAnsi="Arial" w:cs="Arial"/>
        </w:rPr>
        <w:t xml:space="preserve">MADDALA, G. S. </w:t>
      </w:r>
      <w:r w:rsidRPr="00650A14">
        <w:rPr>
          <w:rFonts w:ascii="Arial" w:hAnsi="Arial" w:cs="Arial"/>
          <w:b/>
          <w:bCs/>
        </w:rPr>
        <w:t>Introdução a econometria</w:t>
      </w:r>
      <w:r w:rsidRPr="00650A14">
        <w:rPr>
          <w:rFonts w:ascii="Arial" w:hAnsi="Arial" w:cs="Arial"/>
        </w:rPr>
        <w:t>. 3 ed. Rio de Janeiro: LTC</w:t>
      </w:r>
      <w:r>
        <w:rPr>
          <w:rFonts w:ascii="Arial" w:hAnsi="Arial" w:cs="Arial"/>
        </w:rPr>
        <w:t>, 2003.</w:t>
      </w:r>
    </w:p>
    <w:p w14:paraId="3AE68216" w14:textId="1BC21530" w:rsidR="007237AF" w:rsidRDefault="007237AF" w:rsidP="00D94D11">
      <w:pPr>
        <w:spacing w:line="360" w:lineRule="auto"/>
        <w:jc w:val="both"/>
        <w:rPr>
          <w:rFonts w:ascii="Arial" w:hAnsi="Arial" w:cs="Arial"/>
        </w:rPr>
      </w:pPr>
    </w:p>
    <w:p w14:paraId="7FB38755" w14:textId="172F8DE7" w:rsidR="00650A14" w:rsidRDefault="00650A14" w:rsidP="00D94D11">
      <w:pPr>
        <w:spacing w:line="360" w:lineRule="auto"/>
        <w:jc w:val="both"/>
        <w:rPr>
          <w:rFonts w:ascii="Arial" w:hAnsi="Arial" w:cs="Arial"/>
        </w:rPr>
      </w:pPr>
      <w:r w:rsidRPr="00650A14">
        <w:rPr>
          <w:rFonts w:ascii="Arial" w:hAnsi="Arial" w:cs="Arial"/>
          <w:lang w:val="en-US"/>
        </w:rPr>
        <w:t xml:space="preserve">MUSGRAVE, R. M. </w:t>
      </w:r>
      <w:r w:rsidRPr="00650A14">
        <w:rPr>
          <w:rFonts w:ascii="Arial" w:hAnsi="Arial" w:cs="Arial"/>
          <w:b/>
          <w:bCs/>
          <w:lang w:val="en-US"/>
        </w:rPr>
        <w:t>The theory of public finance</w:t>
      </w:r>
      <w:r w:rsidRPr="00650A14">
        <w:rPr>
          <w:rFonts w:ascii="Arial" w:hAnsi="Arial" w:cs="Arial"/>
          <w:lang w:val="en-US"/>
        </w:rPr>
        <w:t xml:space="preserve">. </w:t>
      </w:r>
      <w:r w:rsidRPr="00650A14">
        <w:rPr>
          <w:rFonts w:ascii="Arial" w:hAnsi="Arial" w:cs="Arial"/>
        </w:rPr>
        <w:t>Nova Iorque: McGraw-Hill, 1959.</w:t>
      </w:r>
    </w:p>
    <w:p w14:paraId="4E764F99" w14:textId="2BD87CE5" w:rsidR="00650A14" w:rsidRDefault="00650A14" w:rsidP="00D94D11">
      <w:pPr>
        <w:spacing w:line="360" w:lineRule="auto"/>
        <w:jc w:val="both"/>
        <w:rPr>
          <w:rFonts w:ascii="Arial" w:hAnsi="Arial" w:cs="Arial"/>
        </w:rPr>
      </w:pPr>
    </w:p>
    <w:p w14:paraId="37968D18" w14:textId="77777777" w:rsidR="00952D5B" w:rsidRPr="00952D5B" w:rsidRDefault="00952D5B" w:rsidP="00D94D11">
      <w:pPr>
        <w:spacing w:line="360" w:lineRule="auto"/>
        <w:jc w:val="both"/>
        <w:rPr>
          <w:rFonts w:ascii="Arial" w:hAnsi="Arial" w:cs="Arial"/>
        </w:rPr>
      </w:pPr>
      <w:r w:rsidRPr="00952D5B">
        <w:rPr>
          <w:rFonts w:ascii="Arial" w:hAnsi="Arial" w:cs="Arial"/>
        </w:rPr>
        <w:t xml:space="preserve">OATES, W. E. </w:t>
      </w:r>
      <w:r w:rsidRPr="00952D5B">
        <w:rPr>
          <w:rFonts w:ascii="Arial" w:hAnsi="Arial" w:cs="Arial"/>
          <w:b/>
          <w:bCs/>
        </w:rPr>
        <w:t xml:space="preserve">Fiscal </w:t>
      </w:r>
      <w:proofErr w:type="spellStart"/>
      <w:r w:rsidRPr="00952D5B">
        <w:rPr>
          <w:rFonts w:ascii="Arial" w:hAnsi="Arial" w:cs="Arial"/>
          <w:b/>
          <w:bCs/>
        </w:rPr>
        <w:t>federalism</w:t>
      </w:r>
      <w:proofErr w:type="spellEnd"/>
      <w:r w:rsidRPr="00952D5B">
        <w:rPr>
          <w:rFonts w:ascii="Arial" w:hAnsi="Arial" w:cs="Arial"/>
        </w:rPr>
        <w:t>. Harcourt Brace Jovanovich, Nova Iorque, 1972.</w:t>
      </w:r>
    </w:p>
    <w:p w14:paraId="25AF9681" w14:textId="77777777" w:rsidR="00952D5B" w:rsidRPr="00952D5B" w:rsidRDefault="00952D5B" w:rsidP="00D94D11">
      <w:pPr>
        <w:spacing w:line="360" w:lineRule="auto"/>
        <w:jc w:val="both"/>
        <w:rPr>
          <w:rFonts w:ascii="Arial" w:hAnsi="Arial" w:cs="Arial"/>
        </w:rPr>
      </w:pPr>
    </w:p>
    <w:p w14:paraId="5C2DA2F6" w14:textId="77777777" w:rsidR="00952D5B" w:rsidRPr="00952D5B" w:rsidRDefault="00952D5B" w:rsidP="00D94D11">
      <w:pPr>
        <w:spacing w:line="360" w:lineRule="auto"/>
        <w:jc w:val="both"/>
        <w:rPr>
          <w:rFonts w:ascii="Arial" w:hAnsi="Arial" w:cs="Arial"/>
        </w:rPr>
      </w:pPr>
      <w:r w:rsidRPr="00952D5B">
        <w:rPr>
          <w:rFonts w:ascii="Arial" w:hAnsi="Arial" w:cs="Arial"/>
        </w:rPr>
        <w:t xml:space="preserve">______. Federalismo fiscal. Madri: Instituto de </w:t>
      </w:r>
      <w:proofErr w:type="spellStart"/>
      <w:r w:rsidRPr="00952D5B">
        <w:rPr>
          <w:rFonts w:ascii="Arial" w:hAnsi="Arial" w:cs="Arial"/>
        </w:rPr>
        <w:t>Estudios</w:t>
      </w:r>
      <w:proofErr w:type="spellEnd"/>
      <w:r w:rsidRPr="00952D5B">
        <w:rPr>
          <w:rFonts w:ascii="Arial" w:hAnsi="Arial" w:cs="Arial"/>
        </w:rPr>
        <w:t xml:space="preserve"> de </w:t>
      </w:r>
      <w:proofErr w:type="spellStart"/>
      <w:r w:rsidRPr="00952D5B">
        <w:rPr>
          <w:rFonts w:ascii="Arial" w:hAnsi="Arial" w:cs="Arial"/>
        </w:rPr>
        <w:t>Administración</w:t>
      </w:r>
      <w:proofErr w:type="spellEnd"/>
      <w:r w:rsidRPr="00952D5B">
        <w:rPr>
          <w:rFonts w:ascii="Arial" w:hAnsi="Arial" w:cs="Arial"/>
        </w:rPr>
        <w:t xml:space="preserve"> Local, 1977.</w:t>
      </w:r>
    </w:p>
    <w:p w14:paraId="5DD197E0" w14:textId="77777777" w:rsidR="00952D5B" w:rsidRPr="00952D5B" w:rsidRDefault="00952D5B" w:rsidP="00D94D11">
      <w:pPr>
        <w:spacing w:line="360" w:lineRule="auto"/>
        <w:jc w:val="both"/>
        <w:rPr>
          <w:rFonts w:ascii="Arial" w:hAnsi="Arial" w:cs="Arial"/>
        </w:rPr>
      </w:pPr>
    </w:p>
    <w:p w14:paraId="4CBC446A" w14:textId="77777777" w:rsidR="00952D5B" w:rsidRPr="00952D5B" w:rsidRDefault="00952D5B" w:rsidP="00D94D11">
      <w:pPr>
        <w:spacing w:line="360" w:lineRule="auto"/>
        <w:jc w:val="both"/>
        <w:rPr>
          <w:rFonts w:ascii="Arial" w:hAnsi="Arial" w:cs="Arial"/>
          <w:lang w:val="en-US"/>
        </w:rPr>
      </w:pPr>
      <w:r w:rsidRPr="00952D5B">
        <w:rPr>
          <w:rFonts w:ascii="Arial" w:hAnsi="Arial" w:cs="Arial"/>
          <w:lang w:val="en-US"/>
        </w:rPr>
        <w:t xml:space="preserve">______. Searching for Leviathan: an empirical study. </w:t>
      </w:r>
      <w:r w:rsidRPr="00952D5B">
        <w:rPr>
          <w:rFonts w:ascii="Arial" w:hAnsi="Arial" w:cs="Arial"/>
          <w:b/>
          <w:bCs/>
          <w:lang w:val="en-US"/>
        </w:rPr>
        <w:t>American Economic Review</w:t>
      </w:r>
      <w:r w:rsidRPr="00952D5B">
        <w:rPr>
          <w:rFonts w:ascii="Arial" w:hAnsi="Arial" w:cs="Arial"/>
          <w:lang w:val="en-US"/>
        </w:rPr>
        <w:t>, v. 75, p. 748-757, 1985.</w:t>
      </w:r>
    </w:p>
    <w:p w14:paraId="6D9980C1" w14:textId="77777777" w:rsidR="00952D5B" w:rsidRPr="00952D5B" w:rsidRDefault="00952D5B" w:rsidP="00D94D11">
      <w:pPr>
        <w:spacing w:line="360" w:lineRule="auto"/>
        <w:jc w:val="both"/>
        <w:rPr>
          <w:rFonts w:ascii="Arial" w:hAnsi="Arial" w:cs="Arial"/>
          <w:lang w:val="en-US"/>
        </w:rPr>
      </w:pPr>
    </w:p>
    <w:p w14:paraId="34ED5BAF" w14:textId="77777777" w:rsidR="00952D5B" w:rsidRPr="00952D5B" w:rsidRDefault="00952D5B" w:rsidP="00D94D11">
      <w:pPr>
        <w:spacing w:line="360" w:lineRule="auto"/>
        <w:jc w:val="both"/>
        <w:rPr>
          <w:rFonts w:ascii="Arial" w:hAnsi="Arial" w:cs="Arial"/>
          <w:lang w:val="en-US"/>
        </w:rPr>
      </w:pPr>
      <w:r w:rsidRPr="00952D5B">
        <w:rPr>
          <w:rFonts w:ascii="Arial" w:hAnsi="Arial" w:cs="Arial"/>
          <w:lang w:val="en-US"/>
        </w:rPr>
        <w:t xml:space="preserve">______. An essay on fiscal federalism. </w:t>
      </w:r>
      <w:r w:rsidRPr="00952D5B">
        <w:rPr>
          <w:rFonts w:ascii="Arial" w:hAnsi="Arial" w:cs="Arial"/>
          <w:b/>
          <w:bCs/>
          <w:lang w:val="en-US"/>
        </w:rPr>
        <w:t>Journal of Economic Literature</w:t>
      </w:r>
      <w:r w:rsidRPr="00952D5B">
        <w:rPr>
          <w:rFonts w:ascii="Arial" w:hAnsi="Arial" w:cs="Arial"/>
          <w:lang w:val="en-US"/>
        </w:rPr>
        <w:t>, v. 37, p. 1120-1149, 1999.</w:t>
      </w:r>
    </w:p>
    <w:p w14:paraId="10E30DE3" w14:textId="77777777" w:rsidR="00952D5B" w:rsidRPr="00952D5B" w:rsidRDefault="00952D5B" w:rsidP="00D94D11">
      <w:pPr>
        <w:spacing w:line="360" w:lineRule="auto"/>
        <w:jc w:val="both"/>
        <w:rPr>
          <w:rFonts w:ascii="Arial" w:hAnsi="Arial" w:cs="Arial"/>
          <w:lang w:val="en-US"/>
        </w:rPr>
      </w:pPr>
    </w:p>
    <w:p w14:paraId="7198719D" w14:textId="24366CEE" w:rsidR="00952D5B" w:rsidRPr="00952D5B" w:rsidRDefault="00952D5B" w:rsidP="00D94D11">
      <w:pPr>
        <w:spacing w:line="360" w:lineRule="auto"/>
        <w:jc w:val="both"/>
        <w:rPr>
          <w:rFonts w:ascii="Arial" w:hAnsi="Arial" w:cs="Arial"/>
          <w:lang w:val="en-US"/>
        </w:rPr>
      </w:pPr>
      <w:r w:rsidRPr="00952D5B">
        <w:rPr>
          <w:rFonts w:ascii="Arial" w:hAnsi="Arial" w:cs="Arial"/>
          <w:lang w:val="en-US"/>
        </w:rPr>
        <w:t xml:space="preserve">______. Toward a second-generation theory of fiscal federalism. </w:t>
      </w:r>
      <w:r w:rsidRPr="00952D5B">
        <w:rPr>
          <w:rFonts w:ascii="Arial" w:hAnsi="Arial" w:cs="Arial"/>
          <w:b/>
          <w:bCs/>
          <w:lang w:val="en-US"/>
        </w:rPr>
        <w:t>Journal of International Tax and Public Finance</w:t>
      </w:r>
      <w:r w:rsidRPr="00952D5B">
        <w:rPr>
          <w:rFonts w:ascii="Arial" w:hAnsi="Arial" w:cs="Arial"/>
          <w:lang w:val="en-US"/>
        </w:rPr>
        <w:t xml:space="preserve">, v. 12, </w:t>
      </w:r>
      <w:r>
        <w:rPr>
          <w:rFonts w:ascii="Arial" w:hAnsi="Arial" w:cs="Arial"/>
          <w:lang w:val="en-US"/>
        </w:rPr>
        <w:t>p</w:t>
      </w:r>
      <w:r w:rsidRPr="00952D5B">
        <w:rPr>
          <w:rFonts w:ascii="Arial" w:hAnsi="Arial" w:cs="Arial"/>
          <w:lang w:val="en-US"/>
        </w:rPr>
        <w:t>. 349-373, 2005.</w:t>
      </w:r>
    </w:p>
    <w:p w14:paraId="004B7E10" w14:textId="77777777" w:rsidR="00952D5B" w:rsidRPr="00952D5B" w:rsidRDefault="00952D5B" w:rsidP="00D94D11">
      <w:pPr>
        <w:spacing w:line="360" w:lineRule="auto"/>
        <w:jc w:val="both"/>
        <w:rPr>
          <w:rFonts w:ascii="Arial" w:hAnsi="Arial" w:cs="Arial"/>
          <w:lang w:val="en-US"/>
        </w:rPr>
      </w:pPr>
    </w:p>
    <w:p w14:paraId="2B3C2EA4" w14:textId="0BC7850E" w:rsidR="00650A14" w:rsidRDefault="00952D5B" w:rsidP="00D94D11">
      <w:pPr>
        <w:spacing w:line="360" w:lineRule="auto"/>
        <w:jc w:val="both"/>
        <w:rPr>
          <w:rFonts w:ascii="Arial" w:hAnsi="Arial" w:cs="Arial"/>
        </w:rPr>
      </w:pPr>
      <w:r w:rsidRPr="00952D5B">
        <w:rPr>
          <w:rFonts w:ascii="Arial" w:hAnsi="Arial" w:cs="Arial"/>
          <w:lang w:val="en-US"/>
        </w:rPr>
        <w:t xml:space="preserve">______. </w:t>
      </w:r>
      <w:r w:rsidRPr="00952D5B">
        <w:rPr>
          <w:rFonts w:ascii="Arial" w:hAnsi="Arial" w:cs="Arial"/>
          <w:b/>
          <w:bCs/>
          <w:lang w:val="en-US"/>
        </w:rPr>
        <w:t>Fiscal Decentralization and Economic Development</w:t>
      </w:r>
      <w:r w:rsidRPr="00952D5B">
        <w:rPr>
          <w:rFonts w:ascii="Arial" w:hAnsi="Arial" w:cs="Arial"/>
          <w:lang w:val="en-US"/>
        </w:rPr>
        <w:t>. National Tax Journal, [s.1], v. 46. n.2,</w:t>
      </w:r>
      <w:r>
        <w:rPr>
          <w:rFonts w:ascii="Arial" w:hAnsi="Arial" w:cs="Arial"/>
          <w:lang w:val="en-US"/>
        </w:rPr>
        <w:t xml:space="preserve"> </w:t>
      </w:r>
      <w:r w:rsidRPr="00952D5B">
        <w:rPr>
          <w:rFonts w:ascii="Arial" w:hAnsi="Arial" w:cs="Arial"/>
          <w:lang w:val="en-US"/>
        </w:rPr>
        <w:t xml:space="preserve">p.237-243. </w:t>
      </w:r>
      <w:r w:rsidRPr="00952D5B">
        <w:rPr>
          <w:rFonts w:ascii="Arial" w:hAnsi="Arial" w:cs="Arial"/>
        </w:rPr>
        <w:t>Apud LAGEMANN, E. “O Federalismo Fiscal Brasileiro em Questão”, op. cit.; 1993.</w:t>
      </w:r>
    </w:p>
    <w:p w14:paraId="34E65667" w14:textId="004811A7" w:rsidR="00650A14" w:rsidRDefault="00650A14" w:rsidP="00D94D11">
      <w:pPr>
        <w:spacing w:line="360" w:lineRule="auto"/>
        <w:jc w:val="both"/>
        <w:rPr>
          <w:rFonts w:ascii="Arial" w:hAnsi="Arial" w:cs="Arial"/>
        </w:rPr>
      </w:pPr>
    </w:p>
    <w:p w14:paraId="67D9E38C" w14:textId="198CBCB6" w:rsidR="00952D5B" w:rsidRPr="00952D5B" w:rsidRDefault="00952D5B" w:rsidP="00D94D11">
      <w:pPr>
        <w:spacing w:line="360" w:lineRule="auto"/>
        <w:jc w:val="both"/>
        <w:rPr>
          <w:rFonts w:ascii="Arial" w:hAnsi="Arial" w:cs="Arial"/>
          <w:lang w:val="en-US"/>
        </w:rPr>
      </w:pPr>
      <w:r w:rsidRPr="00952D5B">
        <w:rPr>
          <w:rFonts w:ascii="Arial" w:hAnsi="Arial" w:cs="Arial"/>
          <w:lang w:val="en-US"/>
        </w:rPr>
        <w:t xml:space="preserve">OLSON, M. The Principle of </w:t>
      </w:r>
      <w:r>
        <w:rPr>
          <w:rFonts w:ascii="Arial" w:hAnsi="Arial" w:cs="Arial"/>
          <w:lang w:val="en-US"/>
        </w:rPr>
        <w:t>“</w:t>
      </w:r>
      <w:r w:rsidRPr="00952D5B">
        <w:rPr>
          <w:rFonts w:ascii="Arial" w:hAnsi="Arial" w:cs="Arial"/>
          <w:lang w:val="en-US"/>
        </w:rPr>
        <w:t>Fiscal Equivalence˜: The Division of Responsibilities among Different Levels of Government</w:t>
      </w:r>
      <w:r>
        <w:rPr>
          <w:rFonts w:ascii="Arial" w:hAnsi="Arial" w:cs="Arial"/>
          <w:lang w:val="en-US"/>
        </w:rPr>
        <w:t xml:space="preserve">. </w:t>
      </w:r>
      <w:r>
        <w:rPr>
          <w:rFonts w:ascii="Arial" w:hAnsi="Arial" w:cs="Arial"/>
          <w:b/>
          <w:bCs/>
          <w:lang w:val="en-US"/>
        </w:rPr>
        <w:t>The American Economic Review</w:t>
      </w:r>
      <w:r>
        <w:rPr>
          <w:rFonts w:ascii="Arial" w:hAnsi="Arial" w:cs="Arial"/>
          <w:lang w:val="en-US"/>
        </w:rPr>
        <w:t>, v.59, n. 2, p. 479-487, 1969.</w:t>
      </w:r>
    </w:p>
    <w:p w14:paraId="65433AE6" w14:textId="56FDA540" w:rsidR="00650A14" w:rsidRDefault="00650A14" w:rsidP="00D94D11">
      <w:pPr>
        <w:spacing w:line="360" w:lineRule="auto"/>
        <w:jc w:val="both"/>
        <w:rPr>
          <w:rFonts w:ascii="Arial" w:hAnsi="Arial" w:cs="Arial"/>
          <w:lang w:val="en-US"/>
        </w:rPr>
      </w:pPr>
    </w:p>
    <w:p w14:paraId="5BB96A54" w14:textId="6EBD3C6E" w:rsidR="00952D5B" w:rsidRPr="00952D5B" w:rsidRDefault="00952D5B" w:rsidP="00D94D11">
      <w:pPr>
        <w:spacing w:line="360" w:lineRule="auto"/>
        <w:jc w:val="both"/>
        <w:rPr>
          <w:rFonts w:ascii="Arial" w:hAnsi="Arial" w:cs="Arial"/>
          <w:lang w:val="en-US"/>
        </w:rPr>
      </w:pPr>
      <w:r w:rsidRPr="00952D5B">
        <w:rPr>
          <w:rFonts w:ascii="Arial" w:hAnsi="Arial" w:cs="Arial"/>
          <w:lang w:val="en-US"/>
        </w:rPr>
        <w:t>RODRIGUEZ-POSE, A.; KRØIJER, A. Fiscal decentralization and economic grow</w:t>
      </w:r>
      <w:r>
        <w:rPr>
          <w:rFonts w:ascii="Arial" w:hAnsi="Arial" w:cs="Arial"/>
          <w:lang w:val="en-US"/>
        </w:rPr>
        <w:t xml:space="preserve">th in Central and Eastern Europe. </w:t>
      </w:r>
      <w:proofErr w:type="spellStart"/>
      <w:r>
        <w:rPr>
          <w:rFonts w:ascii="Arial" w:hAnsi="Arial" w:cs="Arial"/>
          <w:b/>
          <w:bCs/>
          <w:lang w:val="en-US"/>
        </w:rPr>
        <w:t>Gorwth</w:t>
      </w:r>
      <w:proofErr w:type="spellEnd"/>
      <w:r>
        <w:rPr>
          <w:rFonts w:ascii="Arial" w:hAnsi="Arial" w:cs="Arial"/>
          <w:b/>
          <w:bCs/>
          <w:lang w:val="en-US"/>
        </w:rPr>
        <w:t xml:space="preserve"> and Change</w:t>
      </w:r>
      <w:r>
        <w:rPr>
          <w:rFonts w:ascii="Arial" w:hAnsi="Arial" w:cs="Arial"/>
          <w:lang w:val="en-US"/>
        </w:rPr>
        <w:t>, v. 40, n. 3, p. 387-417, 2009</w:t>
      </w:r>
    </w:p>
    <w:p w14:paraId="3C380BE8" w14:textId="4D2D946E" w:rsidR="00952D5B" w:rsidRPr="00952D5B" w:rsidRDefault="00952D5B" w:rsidP="00D94D11">
      <w:pPr>
        <w:spacing w:line="360" w:lineRule="auto"/>
        <w:jc w:val="both"/>
        <w:rPr>
          <w:rFonts w:ascii="Arial" w:hAnsi="Arial" w:cs="Arial"/>
          <w:lang w:val="en-US"/>
        </w:rPr>
      </w:pPr>
    </w:p>
    <w:p w14:paraId="68A40EEF" w14:textId="2353F704" w:rsidR="00952D5B" w:rsidRPr="00952D5B" w:rsidRDefault="00952D5B" w:rsidP="00D94D11">
      <w:pPr>
        <w:spacing w:line="360" w:lineRule="auto"/>
        <w:jc w:val="both"/>
        <w:rPr>
          <w:rFonts w:ascii="Arial" w:hAnsi="Arial" w:cs="Arial"/>
        </w:rPr>
      </w:pPr>
      <w:r w:rsidRPr="00952D5B">
        <w:rPr>
          <w:rFonts w:ascii="Arial" w:hAnsi="Arial" w:cs="Arial"/>
          <w:lang w:val="en-US"/>
        </w:rPr>
        <w:t xml:space="preserve">ROSEN, H.S.; GAYER, T. </w:t>
      </w:r>
      <w:proofErr w:type="spellStart"/>
      <w:r w:rsidRPr="00952D5B">
        <w:rPr>
          <w:rFonts w:ascii="Arial" w:hAnsi="Arial" w:cs="Arial"/>
          <w:b/>
          <w:bCs/>
          <w:lang w:val="en-US"/>
        </w:rPr>
        <w:t>Finanças</w:t>
      </w:r>
      <w:proofErr w:type="spellEnd"/>
      <w:r w:rsidRPr="00952D5B">
        <w:rPr>
          <w:rFonts w:ascii="Arial" w:hAnsi="Arial" w:cs="Arial"/>
          <w:b/>
          <w:bCs/>
          <w:lang w:val="en-US"/>
        </w:rPr>
        <w:t xml:space="preserve"> </w:t>
      </w:r>
      <w:proofErr w:type="spellStart"/>
      <w:r w:rsidRPr="00952D5B">
        <w:rPr>
          <w:rFonts w:ascii="Arial" w:hAnsi="Arial" w:cs="Arial"/>
          <w:b/>
          <w:bCs/>
          <w:lang w:val="en-US"/>
        </w:rPr>
        <w:t>públicas</w:t>
      </w:r>
      <w:proofErr w:type="spellEnd"/>
      <w:r w:rsidRPr="00952D5B">
        <w:rPr>
          <w:rFonts w:ascii="Arial" w:hAnsi="Arial" w:cs="Arial"/>
          <w:lang w:val="en-US"/>
        </w:rPr>
        <w:t xml:space="preserve">. </w:t>
      </w:r>
      <w:r w:rsidRPr="00952D5B">
        <w:rPr>
          <w:rFonts w:ascii="Arial" w:hAnsi="Arial" w:cs="Arial"/>
        </w:rPr>
        <w:t>10. ed. Porto Alegre: AMGH Editora Ltda., 2015.</w:t>
      </w:r>
    </w:p>
    <w:p w14:paraId="3FCF537D" w14:textId="0FC2C40C" w:rsidR="00952D5B" w:rsidRPr="00952D5B" w:rsidRDefault="00952D5B" w:rsidP="00D94D11">
      <w:pPr>
        <w:spacing w:line="360" w:lineRule="auto"/>
        <w:jc w:val="both"/>
        <w:rPr>
          <w:rFonts w:ascii="Arial" w:hAnsi="Arial" w:cs="Arial"/>
        </w:rPr>
      </w:pPr>
    </w:p>
    <w:p w14:paraId="3DE7A779" w14:textId="56CA0596" w:rsidR="00952D5B" w:rsidRPr="00952D5B" w:rsidRDefault="00952D5B" w:rsidP="00D94D11">
      <w:pPr>
        <w:spacing w:line="360" w:lineRule="auto"/>
        <w:jc w:val="both"/>
        <w:rPr>
          <w:rFonts w:ascii="Arial" w:hAnsi="Arial" w:cs="Arial"/>
          <w:lang w:val="en-US"/>
        </w:rPr>
      </w:pPr>
      <w:r w:rsidRPr="00952D5B">
        <w:rPr>
          <w:rFonts w:ascii="Arial" w:hAnsi="Arial" w:cs="Arial"/>
          <w:lang w:val="en-US"/>
        </w:rPr>
        <w:t xml:space="preserve">SAMUELSON, P. The pure theory of public expenditure. </w:t>
      </w:r>
      <w:r w:rsidRPr="00952D5B">
        <w:rPr>
          <w:rFonts w:ascii="Arial" w:hAnsi="Arial" w:cs="Arial"/>
          <w:b/>
          <w:bCs/>
          <w:lang w:val="en-US"/>
        </w:rPr>
        <w:t>Review of Economics and Statistics</w:t>
      </w:r>
      <w:r w:rsidRPr="00952D5B">
        <w:rPr>
          <w:rFonts w:ascii="Arial" w:hAnsi="Arial" w:cs="Arial"/>
          <w:lang w:val="en-US"/>
        </w:rPr>
        <w:t>, v. 36, n. 4, p. 387-389, 1954.</w:t>
      </w:r>
    </w:p>
    <w:p w14:paraId="47CD7DF0" w14:textId="31653D53" w:rsidR="00952D5B" w:rsidRPr="00952D5B" w:rsidRDefault="00952D5B" w:rsidP="00D94D11">
      <w:pPr>
        <w:spacing w:line="360" w:lineRule="auto"/>
        <w:jc w:val="both"/>
        <w:rPr>
          <w:rFonts w:ascii="Arial" w:hAnsi="Arial" w:cs="Arial"/>
          <w:lang w:val="en-US"/>
        </w:rPr>
      </w:pPr>
    </w:p>
    <w:p w14:paraId="13EE6A87" w14:textId="210B5849" w:rsidR="00952D5B" w:rsidRPr="00952D5B" w:rsidRDefault="00952D5B" w:rsidP="00D94D11">
      <w:pPr>
        <w:spacing w:line="360" w:lineRule="auto"/>
        <w:jc w:val="both"/>
        <w:rPr>
          <w:rFonts w:ascii="Arial" w:hAnsi="Arial" w:cs="Arial"/>
          <w:lang w:val="en-US"/>
        </w:rPr>
      </w:pPr>
      <w:r>
        <w:rPr>
          <w:rFonts w:ascii="Arial" w:hAnsi="Arial" w:cs="Arial"/>
          <w:lang w:val="en-US"/>
        </w:rPr>
        <w:t xml:space="preserve">SLAVINSKAITE, N. Fiscal decentralization and economic growth in selected European countries. </w:t>
      </w:r>
      <w:r>
        <w:rPr>
          <w:rFonts w:ascii="Arial" w:hAnsi="Arial" w:cs="Arial"/>
          <w:b/>
          <w:bCs/>
          <w:lang w:val="en-US"/>
        </w:rPr>
        <w:t>Journal of Business Economics and Management</w:t>
      </w:r>
      <w:r>
        <w:rPr>
          <w:rFonts w:ascii="Arial" w:hAnsi="Arial" w:cs="Arial"/>
          <w:lang w:val="en-US"/>
        </w:rPr>
        <w:t>, v. 18, n. 4, p. 745-757</w:t>
      </w:r>
      <w:r w:rsidR="004B34A1">
        <w:rPr>
          <w:rFonts w:ascii="Arial" w:hAnsi="Arial" w:cs="Arial"/>
          <w:lang w:val="en-US"/>
        </w:rPr>
        <w:t>, 2017.</w:t>
      </w:r>
    </w:p>
    <w:p w14:paraId="70CA2DAF" w14:textId="4B46B2B3" w:rsidR="00952D5B" w:rsidRDefault="00952D5B" w:rsidP="00D94D11">
      <w:pPr>
        <w:spacing w:line="360" w:lineRule="auto"/>
        <w:jc w:val="both"/>
        <w:rPr>
          <w:rFonts w:ascii="Arial" w:hAnsi="Arial" w:cs="Arial"/>
          <w:lang w:val="en-US"/>
        </w:rPr>
      </w:pPr>
    </w:p>
    <w:p w14:paraId="7242501F" w14:textId="389371C9" w:rsidR="004B34A1" w:rsidRDefault="004B34A1" w:rsidP="00D94D11">
      <w:pPr>
        <w:spacing w:line="360" w:lineRule="auto"/>
        <w:jc w:val="both"/>
        <w:rPr>
          <w:rFonts w:ascii="Arial" w:hAnsi="Arial" w:cs="Arial"/>
          <w:lang w:val="en-US"/>
        </w:rPr>
      </w:pPr>
      <w:r>
        <w:rPr>
          <w:rFonts w:ascii="Arial" w:hAnsi="Arial" w:cs="Arial"/>
          <w:lang w:val="en-US"/>
        </w:rPr>
        <w:t xml:space="preserve">STANSEL, D. Local decentralization and local economic growth: a cross-sectional examination of US metropolitan areas. </w:t>
      </w:r>
      <w:r>
        <w:rPr>
          <w:rFonts w:ascii="Arial" w:hAnsi="Arial" w:cs="Arial"/>
          <w:b/>
          <w:bCs/>
          <w:lang w:val="en-US"/>
        </w:rPr>
        <w:t>Journal of Urban Economics</w:t>
      </w:r>
      <w:r>
        <w:rPr>
          <w:rFonts w:ascii="Arial" w:hAnsi="Arial" w:cs="Arial"/>
          <w:lang w:val="en-US"/>
        </w:rPr>
        <w:t>, v. 57, p. 55-72, 2005.</w:t>
      </w:r>
    </w:p>
    <w:p w14:paraId="0B810C61" w14:textId="77777777" w:rsidR="004B34A1" w:rsidRPr="004B34A1" w:rsidRDefault="004B34A1" w:rsidP="00D94D11">
      <w:pPr>
        <w:spacing w:line="360" w:lineRule="auto"/>
        <w:jc w:val="both"/>
        <w:rPr>
          <w:rFonts w:ascii="Arial" w:hAnsi="Arial" w:cs="Arial"/>
          <w:lang w:val="en-US"/>
        </w:rPr>
      </w:pPr>
    </w:p>
    <w:p w14:paraId="5FA7B499" w14:textId="0CB00CF0" w:rsidR="004B34A1" w:rsidRDefault="004B34A1" w:rsidP="00D94D11">
      <w:pPr>
        <w:spacing w:line="360" w:lineRule="auto"/>
        <w:jc w:val="both"/>
        <w:rPr>
          <w:rFonts w:ascii="Arial" w:hAnsi="Arial" w:cs="Arial"/>
          <w:lang w:val="en-US"/>
        </w:rPr>
      </w:pPr>
      <w:r w:rsidRPr="004B34A1">
        <w:rPr>
          <w:rFonts w:ascii="Arial" w:hAnsi="Arial" w:cs="Arial"/>
          <w:lang w:val="en-US"/>
        </w:rPr>
        <w:t xml:space="preserve">TANZI, V. </w:t>
      </w:r>
      <w:r w:rsidRPr="004B34A1">
        <w:rPr>
          <w:rFonts w:ascii="Arial" w:hAnsi="Arial" w:cs="Arial"/>
          <w:b/>
          <w:bCs/>
          <w:lang w:val="en-US"/>
        </w:rPr>
        <w:t>Fiscal federalism and decentralization: a review of some efficiency and macroeconomic</w:t>
      </w:r>
      <w:r w:rsidRPr="004B34A1">
        <w:rPr>
          <w:rFonts w:ascii="Arial" w:hAnsi="Arial" w:cs="Arial"/>
          <w:lang w:val="en-US"/>
        </w:rPr>
        <w:t xml:space="preserve"> aspects. In M. Bruno e B. </w:t>
      </w:r>
      <w:proofErr w:type="spellStart"/>
      <w:r w:rsidRPr="004B34A1">
        <w:rPr>
          <w:rFonts w:ascii="Arial" w:hAnsi="Arial" w:cs="Arial"/>
          <w:lang w:val="en-US"/>
        </w:rPr>
        <w:t>Pleskovic</w:t>
      </w:r>
      <w:proofErr w:type="spellEnd"/>
      <w:r w:rsidRPr="004B34A1">
        <w:rPr>
          <w:rFonts w:ascii="Arial" w:hAnsi="Arial" w:cs="Arial"/>
          <w:lang w:val="en-US"/>
        </w:rPr>
        <w:t xml:space="preserve"> (eds), Annual World Bank Conference on Development Economics 1995. Washington, DC: World Bank, 1995.</w:t>
      </w:r>
    </w:p>
    <w:p w14:paraId="58ED004B" w14:textId="77777777" w:rsidR="004B34A1" w:rsidRDefault="004B34A1" w:rsidP="00D94D11">
      <w:pPr>
        <w:spacing w:line="360" w:lineRule="auto"/>
        <w:jc w:val="both"/>
        <w:rPr>
          <w:rFonts w:ascii="Arial" w:hAnsi="Arial" w:cs="Arial"/>
          <w:lang w:val="en-US"/>
        </w:rPr>
      </w:pPr>
    </w:p>
    <w:p w14:paraId="0238A63B" w14:textId="47320CE7" w:rsidR="004B34A1" w:rsidRPr="004B34A1" w:rsidRDefault="004B34A1" w:rsidP="00D94D11">
      <w:pPr>
        <w:spacing w:line="360" w:lineRule="auto"/>
        <w:jc w:val="both"/>
        <w:rPr>
          <w:rFonts w:ascii="Arial" w:hAnsi="Arial" w:cs="Arial"/>
          <w:lang w:val="en-US"/>
        </w:rPr>
      </w:pPr>
      <w:r>
        <w:rPr>
          <w:rFonts w:ascii="Arial" w:hAnsi="Arial" w:cs="Arial"/>
          <w:lang w:val="en-US"/>
        </w:rPr>
        <w:t xml:space="preserve">THIESSEN, U. Fiscal decentralization and economic growth in high-income OECD countries. </w:t>
      </w:r>
      <w:r>
        <w:rPr>
          <w:rFonts w:ascii="Arial" w:hAnsi="Arial" w:cs="Arial"/>
          <w:b/>
          <w:bCs/>
          <w:lang w:val="en-US"/>
        </w:rPr>
        <w:t>Fiscal Studies</w:t>
      </w:r>
      <w:r>
        <w:rPr>
          <w:rFonts w:ascii="Arial" w:hAnsi="Arial" w:cs="Arial"/>
          <w:lang w:val="en-US"/>
        </w:rPr>
        <w:t>, b. 24, n. 3, p 237-274, 2003.</w:t>
      </w:r>
    </w:p>
    <w:p w14:paraId="0FFA2F26" w14:textId="0BEF8373" w:rsidR="004B34A1" w:rsidRDefault="004B34A1" w:rsidP="00D94D11">
      <w:pPr>
        <w:spacing w:line="360" w:lineRule="auto"/>
        <w:jc w:val="both"/>
        <w:rPr>
          <w:rFonts w:ascii="Arial" w:hAnsi="Arial" w:cs="Arial"/>
          <w:lang w:val="en-US"/>
        </w:rPr>
      </w:pPr>
    </w:p>
    <w:p w14:paraId="7E92808E" w14:textId="52703A5D" w:rsidR="004B34A1" w:rsidRDefault="004B34A1" w:rsidP="00D94D11">
      <w:pPr>
        <w:spacing w:line="360" w:lineRule="auto"/>
        <w:jc w:val="both"/>
        <w:rPr>
          <w:rFonts w:ascii="Arial" w:hAnsi="Arial" w:cs="Arial"/>
          <w:lang w:val="en-US"/>
        </w:rPr>
      </w:pPr>
      <w:r w:rsidRPr="004B34A1">
        <w:rPr>
          <w:rFonts w:ascii="Arial" w:hAnsi="Arial" w:cs="Arial"/>
          <w:lang w:val="en-US"/>
        </w:rPr>
        <w:t xml:space="preserve">TIEBOUT, C. M. A pure theory of local expenditures. </w:t>
      </w:r>
      <w:r w:rsidRPr="004B34A1">
        <w:rPr>
          <w:rFonts w:ascii="Arial" w:hAnsi="Arial" w:cs="Arial"/>
          <w:b/>
          <w:bCs/>
          <w:lang w:val="en-US"/>
        </w:rPr>
        <w:t>Journal of Political Economy</w:t>
      </w:r>
      <w:r w:rsidRPr="004B34A1">
        <w:rPr>
          <w:rFonts w:ascii="Arial" w:hAnsi="Arial" w:cs="Arial"/>
          <w:lang w:val="en-US"/>
        </w:rPr>
        <w:t>, v. 64, p. 416-424, 1956.</w:t>
      </w:r>
    </w:p>
    <w:p w14:paraId="1695835F" w14:textId="00DD9334" w:rsidR="004B34A1" w:rsidRDefault="004B34A1" w:rsidP="00D94D11">
      <w:pPr>
        <w:spacing w:line="360" w:lineRule="auto"/>
        <w:jc w:val="both"/>
        <w:rPr>
          <w:rFonts w:ascii="Arial" w:hAnsi="Arial" w:cs="Arial"/>
          <w:lang w:val="en-US"/>
        </w:rPr>
      </w:pPr>
    </w:p>
    <w:p w14:paraId="4F64F480" w14:textId="367BE7EA" w:rsidR="004B34A1" w:rsidRDefault="004B34A1" w:rsidP="00D94D11">
      <w:pPr>
        <w:spacing w:line="360" w:lineRule="auto"/>
        <w:jc w:val="both"/>
        <w:rPr>
          <w:rFonts w:ascii="Arial" w:hAnsi="Arial" w:cs="Arial"/>
          <w:lang w:val="en-US"/>
        </w:rPr>
      </w:pPr>
    </w:p>
    <w:p w14:paraId="4A7CC596" w14:textId="14A286E1" w:rsidR="004B34A1" w:rsidRDefault="004B34A1" w:rsidP="00D94D11">
      <w:pPr>
        <w:spacing w:line="360" w:lineRule="auto"/>
        <w:jc w:val="both"/>
        <w:rPr>
          <w:rFonts w:ascii="Arial" w:hAnsi="Arial" w:cs="Arial"/>
          <w:lang w:val="en-US"/>
        </w:rPr>
      </w:pPr>
      <w:r w:rsidRPr="004B34A1">
        <w:rPr>
          <w:rFonts w:ascii="Arial" w:hAnsi="Arial" w:cs="Arial"/>
          <w:lang w:val="en-US"/>
        </w:rPr>
        <w:t xml:space="preserve">VO, D. H. The economics of fiscal decentralization. </w:t>
      </w:r>
      <w:r w:rsidRPr="004B34A1">
        <w:rPr>
          <w:rFonts w:ascii="Arial" w:hAnsi="Arial" w:cs="Arial"/>
          <w:b/>
          <w:bCs/>
          <w:lang w:val="en-US"/>
        </w:rPr>
        <w:t>Journal of Economic Surveys</w:t>
      </w:r>
      <w:r w:rsidRPr="004B34A1">
        <w:rPr>
          <w:rFonts w:ascii="Arial" w:hAnsi="Arial" w:cs="Arial"/>
          <w:lang w:val="en-US"/>
        </w:rPr>
        <w:t>, v. 24, n. 4, p. 657-679, 2010.</w:t>
      </w:r>
    </w:p>
    <w:p w14:paraId="4BF0E6FA" w14:textId="73D9F4D6" w:rsidR="004B34A1" w:rsidRDefault="004B34A1" w:rsidP="00D94D11">
      <w:pPr>
        <w:spacing w:line="360" w:lineRule="auto"/>
        <w:jc w:val="both"/>
        <w:rPr>
          <w:rFonts w:ascii="Arial" w:hAnsi="Arial" w:cs="Arial"/>
          <w:lang w:val="en-US"/>
        </w:rPr>
      </w:pPr>
    </w:p>
    <w:p w14:paraId="0B92A4CA" w14:textId="6FFCFBFD" w:rsidR="004B34A1" w:rsidRPr="00986E56" w:rsidRDefault="004B34A1" w:rsidP="00D94D11">
      <w:pPr>
        <w:spacing w:line="360" w:lineRule="auto"/>
        <w:jc w:val="both"/>
        <w:rPr>
          <w:rFonts w:ascii="Arial" w:hAnsi="Arial" w:cs="Arial"/>
          <w:lang w:val="en-US"/>
        </w:rPr>
      </w:pPr>
      <w:r w:rsidRPr="004B34A1">
        <w:rPr>
          <w:rFonts w:ascii="Arial" w:hAnsi="Arial" w:cs="Arial"/>
        </w:rPr>
        <w:t xml:space="preserve">WOOLDRIDGE, J. M. </w:t>
      </w:r>
      <w:r w:rsidRPr="004B34A1">
        <w:rPr>
          <w:rFonts w:ascii="Arial" w:hAnsi="Arial" w:cs="Arial"/>
          <w:b/>
          <w:bCs/>
        </w:rPr>
        <w:t>Introdução à Econometria: uma abordagem moderna</w:t>
      </w:r>
      <w:r w:rsidRPr="004B34A1">
        <w:rPr>
          <w:rFonts w:ascii="Arial" w:hAnsi="Arial" w:cs="Arial"/>
        </w:rPr>
        <w:t xml:space="preserve">. </w:t>
      </w:r>
      <w:r w:rsidRPr="00986E56">
        <w:rPr>
          <w:rFonts w:ascii="Arial" w:hAnsi="Arial" w:cs="Arial"/>
          <w:lang w:val="en-US"/>
        </w:rPr>
        <w:t>São Paulo: Cengage Learning, 2011.</w:t>
      </w:r>
    </w:p>
    <w:p w14:paraId="575BF9F1" w14:textId="7E907514" w:rsidR="004B34A1" w:rsidRPr="00986E56" w:rsidRDefault="004B34A1" w:rsidP="00D94D11">
      <w:pPr>
        <w:spacing w:line="360" w:lineRule="auto"/>
        <w:jc w:val="both"/>
        <w:rPr>
          <w:rFonts w:ascii="Arial" w:hAnsi="Arial" w:cs="Arial"/>
          <w:lang w:val="en-US"/>
        </w:rPr>
      </w:pPr>
    </w:p>
    <w:p w14:paraId="06E87B01" w14:textId="00950489" w:rsidR="004B34A1" w:rsidRDefault="004B34A1" w:rsidP="00D94D11">
      <w:pPr>
        <w:spacing w:line="360" w:lineRule="auto"/>
        <w:jc w:val="both"/>
        <w:rPr>
          <w:rFonts w:ascii="Arial" w:hAnsi="Arial" w:cs="Arial"/>
          <w:lang w:val="en-US"/>
        </w:rPr>
      </w:pPr>
      <w:r w:rsidRPr="004B34A1">
        <w:rPr>
          <w:rFonts w:ascii="Arial" w:hAnsi="Arial" w:cs="Arial"/>
          <w:lang w:val="en-US"/>
        </w:rPr>
        <w:t xml:space="preserve">XIE, D.; ZOU, H.; DAVOODI, H. Fiscal decentralization and </w:t>
      </w:r>
      <w:r>
        <w:rPr>
          <w:rFonts w:ascii="Arial" w:hAnsi="Arial" w:cs="Arial"/>
          <w:lang w:val="en-US"/>
        </w:rPr>
        <w:t xml:space="preserve">economic growth in the United States. </w:t>
      </w:r>
      <w:r>
        <w:rPr>
          <w:rFonts w:ascii="Arial" w:hAnsi="Arial" w:cs="Arial"/>
          <w:b/>
          <w:bCs/>
          <w:lang w:val="en-US"/>
        </w:rPr>
        <w:t>Journal of Urban Economics</w:t>
      </w:r>
      <w:r>
        <w:rPr>
          <w:rFonts w:ascii="Arial" w:hAnsi="Arial" w:cs="Arial"/>
          <w:lang w:val="en-US"/>
        </w:rPr>
        <w:t>, v. 45, p. 228-239, 1999.</w:t>
      </w:r>
    </w:p>
    <w:p w14:paraId="6FDB99F7" w14:textId="77777777" w:rsidR="004B34A1" w:rsidRPr="004B34A1" w:rsidRDefault="004B34A1" w:rsidP="00D94D11">
      <w:pPr>
        <w:spacing w:line="360" w:lineRule="auto"/>
        <w:jc w:val="both"/>
        <w:rPr>
          <w:rFonts w:ascii="Arial" w:hAnsi="Arial" w:cs="Arial"/>
          <w:lang w:val="en-US"/>
        </w:rPr>
      </w:pPr>
    </w:p>
    <w:p w14:paraId="7D90AF22" w14:textId="4D681B24" w:rsidR="004B34A1" w:rsidRPr="00053424" w:rsidRDefault="00053424" w:rsidP="00D94D11">
      <w:pPr>
        <w:spacing w:line="360" w:lineRule="auto"/>
        <w:jc w:val="both"/>
        <w:rPr>
          <w:rFonts w:ascii="Arial" w:hAnsi="Arial" w:cs="Arial"/>
          <w:lang w:val="en-US"/>
        </w:rPr>
      </w:pPr>
      <w:r w:rsidRPr="00053424">
        <w:rPr>
          <w:rFonts w:ascii="Arial" w:hAnsi="Arial" w:cs="Arial"/>
          <w:lang w:val="en-US"/>
        </w:rPr>
        <w:t>ZHANG, T.; ZOU, H. Fiscal decentralization, public spendin</w:t>
      </w:r>
      <w:r>
        <w:rPr>
          <w:rFonts w:ascii="Arial" w:hAnsi="Arial" w:cs="Arial"/>
          <w:lang w:val="en-US"/>
        </w:rPr>
        <w:t xml:space="preserve">g, and economic growth in China. </w:t>
      </w:r>
      <w:r>
        <w:rPr>
          <w:rFonts w:ascii="Arial" w:hAnsi="Arial" w:cs="Arial"/>
          <w:b/>
          <w:bCs/>
          <w:lang w:val="en-US"/>
        </w:rPr>
        <w:t>Journal of Public Economics</w:t>
      </w:r>
      <w:r>
        <w:rPr>
          <w:rFonts w:ascii="Arial" w:hAnsi="Arial" w:cs="Arial"/>
          <w:lang w:val="en-US"/>
        </w:rPr>
        <w:t>, v. 67, p. 221-240, 1998.</w:t>
      </w:r>
    </w:p>
    <w:sectPr w:rsidR="004B34A1" w:rsidRPr="00053424" w:rsidSect="003A04CB">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16A61" w14:textId="77777777" w:rsidR="00854093" w:rsidRDefault="00854093" w:rsidP="003822AF">
      <w:r>
        <w:separator/>
      </w:r>
    </w:p>
  </w:endnote>
  <w:endnote w:type="continuationSeparator" w:id="0">
    <w:p w14:paraId="7723A9D3" w14:textId="77777777" w:rsidR="00854093" w:rsidRDefault="00854093" w:rsidP="0038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D27F8" w14:textId="77777777" w:rsidR="00854093" w:rsidRDefault="00854093" w:rsidP="003822AF">
      <w:r>
        <w:separator/>
      </w:r>
    </w:p>
  </w:footnote>
  <w:footnote w:type="continuationSeparator" w:id="0">
    <w:p w14:paraId="3ACF8F63" w14:textId="77777777" w:rsidR="00854093" w:rsidRDefault="00854093" w:rsidP="003822AF">
      <w:r>
        <w:continuationSeparator/>
      </w:r>
    </w:p>
  </w:footnote>
  <w:footnote w:id="1">
    <w:p w14:paraId="466248FD" w14:textId="77777777" w:rsidR="00854093" w:rsidRPr="00941F0F" w:rsidRDefault="00854093" w:rsidP="00F0521A">
      <w:pPr>
        <w:jc w:val="both"/>
        <w:rPr>
          <w:rFonts w:cstheme="minorHAnsi"/>
          <w:sz w:val="18"/>
          <w:szCs w:val="18"/>
        </w:rPr>
      </w:pPr>
      <w:r w:rsidRPr="002173DF">
        <w:rPr>
          <w:rStyle w:val="Refdenotaderodap"/>
          <w:rFonts w:cstheme="minorHAnsi"/>
          <w:sz w:val="18"/>
          <w:szCs w:val="18"/>
        </w:rPr>
        <w:footnoteRef/>
      </w:r>
      <w:r w:rsidRPr="002173DF">
        <w:rPr>
          <w:rFonts w:cstheme="minorHAnsi"/>
          <w:sz w:val="18"/>
          <w:szCs w:val="18"/>
        </w:rPr>
        <w:t xml:space="preserve"> </w:t>
      </w:r>
      <w:r w:rsidRPr="002173DF">
        <w:rPr>
          <w:b/>
          <w:bCs/>
          <w:i/>
          <w:iCs/>
          <w:sz w:val="18"/>
          <w:szCs w:val="18"/>
          <w:lang w:val="pt-PT"/>
        </w:rPr>
        <w:t>Accountability</w:t>
      </w:r>
      <w:r w:rsidRPr="002173DF">
        <w:rPr>
          <w:sz w:val="18"/>
          <w:szCs w:val="18"/>
          <w:lang w:val="pt-PT"/>
        </w:rPr>
        <w:t xml:space="preserve"> é um termo da língua inglesa, sem tradução exata para o português, que remete à obrigação de membros de um órgão administrativo ou representativo de </w:t>
      </w:r>
      <w:r w:rsidRPr="002173DF">
        <w:rPr>
          <w:b/>
          <w:bCs/>
          <w:sz w:val="18"/>
          <w:szCs w:val="18"/>
          <w:lang w:val="pt-PT"/>
        </w:rPr>
        <w:t>prestar contas</w:t>
      </w:r>
      <w:r w:rsidRPr="002173DF">
        <w:rPr>
          <w:sz w:val="18"/>
          <w:szCs w:val="18"/>
          <w:lang w:val="pt-PT"/>
        </w:rPr>
        <w:t xml:space="preserve"> a instâncias controladoras ou a seus representados. Outro termo usado numa possível versão portuguesa é </w:t>
      </w:r>
      <w:r w:rsidRPr="002173DF">
        <w:rPr>
          <w:b/>
          <w:bCs/>
          <w:sz w:val="18"/>
          <w:szCs w:val="18"/>
          <w:lang w:val="pt-PT"/>
        </w:rPr>
        <w:t>responsabilização</w:t>
      </w:r>
      <w:r>
        <w:rPr>
          <w:b/>
          <w:bCs/>
          <w:sz w:val="18"/>
          <w:szCs w:val="18"/>
          <w:lang w:val="pt-PT"/>
        </w:rPr>
        <w:t xml:space="preserve">. </w:t>
      </w:r>
    </w:p>
  </w:footnote>
  <w:footnote w:id="2">
    <w:p w14:paraId="3533DA79" w14:textId="77777777" w:rsidR="00854093" w:rsidRDefault="00854093" w:rsidP="00F0521A">
      <w:pPr>
        <w:pStyle w:val="Textodenotaderodap"/>
        <w:jc w:val="both"/>
      </w:pPr>
      <w:r>
        <w:rPr>
          <w:rStyle w:val="Refdenotaderodap"/>
        </w:rPr>
        <w:footnoteRef/>
      </w:r>
      <w:r>
        <w:t xml:space="preserve"> </w:t>
      </w:r>
      <w:r w:rsidRPr="00C50D18">
        <w:rPr>
          <w:rFonts w:eastAsia="+mn-ea" w:cstheme="minorHAnsi"/>
          <w:sz w:val="18"/>
          <w:szCs w:val="18"/>
        </w:rPr>
        <w:t>No Brasil, existe uma clara atribuição constitucional para a responsabilidade de cada esfera de poder (União, Estados e Municípios).</w:t>
      </w:r>
    </w:p>
  </w:footnote>
  <w:footnote w:id="3">
    <w:p w14:paraId="123DF094" w14:textId="77777777" w:rsidR="00854093" w:rsidRPr="008D2D46" w:rsidRDefault="00854093" w:rsidP="00F0521A">
      <w:pPr>
        <w:contextualSpacing/>
        <w:jc w:val="both"/>
      </w:pPr>
      <w:r>
        <w:rPr>
          <w:rStyle w:val="Refdenotaderodap"/>
        </w:rPr>
        <w:footnoteRef/>
      </w:r>
      <w:r w:rsidRPr="008D2D46">
        <w:rPr>
          <w:sz w:val="18"/>
          <w:szCs w:val="18"/>
        </w:rPr>
        <w:t>Conforme argumentado por VO (2010), o conceito de “equivalência fiscal” introduzido por Olson (1969) na teoria sobre descentralização fiscal se baseia na associação do objetivo de eficiência da economia do setor público com o alinhamento de custos e benefícios do fornecimento de bens públicos impuros em sistemas federais com multicamadas, cada um se sobrepondo as fronteiras físicas, mas cada um com os limites originais relacionados à provisão de bens públicos específicos.</w:t>
      </w:r>
    </w:p>
  </w:footnote>
  <w:footnote w:id="4">
    <w:p w14:paraId="6D432399" w14:textId="77777777" w:rsidR="00854093" w:rsidRPr="00F66BE3" w:rsidRDefault="00854093" w:rsidP="00F0521A">
      <w:pPr>
        <w:pStyle w:val="Textodenotaderodap"/>
        <w:jc w:val="both"/>
        <w:rPr>
          <w:rFonts w:cstheme="minorHAnsi"/>
          <w:sz w:val="18"/>
          <w:szCs w:val="18"/>
        </w:rPr>
      </w:pPr>
      <w:r w:rsidRPr="008D2D46">
        <w:rPr>
          <w:rStyle w:val="Refdenotaderodap"/>
          <w:rFonts w:cstheme="minorHAnsi"/>
          <w:sz w:val="18"/>
          <w:szCs w:val="18"/>
        </w:rPr>
        <w:footnoteRef/>
      </w:r>
      <w:r w:rsidRPr="008D2D46">
        <w:rPr>
          <w:rFonts w:cstheme="minorHAnsi"/>
          <w:sz w:val="18"/>
          <w:szCs w:val="18"/>
        </w:rPr>
        <w:t xml:space="preserve"> Conhecido também como efeito transbordamento fiscal, segundo o qual as decisões alocativas de uma unidade são uma função das escolhas de gastos e provisionamento de serviços públicos de outras jurisdições, sobretudo as vizinhas (POLITI e MATTOS, 2012). Conforme assinala Brueckner (2003), a decisão de gastos de um município afeta não só a decisão de gastos de unidades vizinhas, mas o próprio bem-estar de toda a população da região. </w:t>
      </w:r>
    </w:p>
  </w:footnote>
  <w:footnote w:id="5">
    <w:p w14:paraId="33414589" w14:textId="3F2CA2D2" w:rsidR="00854093" w:rsidRPr="00370F1F" w:rsidRDefault="00854093">
      <w:pPr>
        <w:pStyle w:val="Textodenotaderodap"/>
        <w:rPr>
          <w:rFonts w:ascii="Arial" w:hAnsi="Arial" w:cs="Arial"/>
        </w:rPr>
      </w:pPr>
      <w:r w:rsidRPr="00370F1F">
        <w:rPr>
          <w:rStyle w:val="Refdenotaderodap"/>
          <w:rFonts w:ascii="Arial" w:hAnsi="Arial" w:cs="Arial"/>
        </w:rPr>
        <w:footnoteRef/>
      </w:r>
      <w:r w:rsidRPr="00370F1F">
        <w:rPr>
          <w:rFonts w:ascii="Arial" w:hAnsi="Arial" w:cs="Arial"/>
        </w:rPr>
        <w:t xml:space="preserve"> Fonte: </w:t>
      </w:r>
      <w:hyperlink r:id="rId1" w:history="1">
        <w:r w:rsidRPr="00126D15">
          <w:rPr>
            <w:rStyle w:val="Hyperlink"/>
            <w:rFonts w:ascii="Arial" w:hAnsi="Arial" w:cs="Arial"/>
          </w:rPr>
          <w:t>https://www.ibge.gov.br/estatisticas/economicas/contas-nacionais/9054-contas-regionais-do-brasil.html?=&amp;t=downloads</w:t>
        </w:r>
      </w:hyperlink>
      <w:r>
        <w:rPr>
          <w:rFonts w:ascii="Arial" w:hAnsi="Arial" w:cs="Arial"/>
        </w:rPr>
        <w:t xml:space="preserve"> </w:t>
      </w:r>
    </w:p>
  </w:footnote>
  <w:footnote w:id="6">
    <w:p w14:paraId="2DE78BEF" w14:textId="65658F97" w:rsidR="00854093" w:rsidRPr="00370F1F" w:rsidRDefault="00854093">
      <w:pPr>
        <w:pStyle w:val="Textodenotaderodap"/>
        <w:rPr>
          <w:rFonts w:ascii="Arial" w:hAnsi="Arial" w:cs="Arial"/>
        </w:rPr>
      </w:pPr>
      <w:r w:rsidRPr="00370F1F">
        <w:rPr>
          <w:rStyle w:val="Refdenotaderodap"/>
          <w:rFonts w:ascii="Arial" w:hAnsi="Arial" w:cs="Arial"/>
        </w:rPr>
        <w:footnoteRef/>
      </w:r>
      <w:r w:rsidRPr="00370F1F">
        <w:rPr>
          <w:rFonts w:ascii="Arial" w:hAnsi="Arial" w:cs="Arial"/>
        </w:rPr>
        <w:t xml:space="preserve"> Fonte: </w:t>
      </w:r>
      <w:hyperlink r:id="rId2" w:history="1">
        <w:r w:rsidRPr="00126D15">
          <w:rPr>
            <w:rStyle w:val="Hyperlink"/>
            <w:rFonts w:ascii="Arial" w:hAnsi="Arial" w:cs="Arial"/>
          </w:rPr>
          <w:t>http://www.ipeadata.gov.br/Default.aspx</w:t>
        </w:r>
      </w:hyperlink>
      <w:r>
        <w:rPr>
          <w:rFonts w:ascii="Arial" w:hAnsi="Arial" w:cs="Arial"/>
        </w:rPr>
        <w:t xml:space="preserve"> </w:t>
      </w:r>
    </w:p>
  </w:footnote>
  <w:footnote w:id="7">
    <w:p w14:paraId="091B6D38" w14:textId="57356CB5" w:rsidR="00854093" w:rsidRPr="00370F1F" w:rsidRDefault="00854093">
      <w:pPr>
        <w:pStyle w:val="Textodenotaderodap"/>
        <w:rPr>
          <w:rFonts w:ascii="Arial" w:hAnsi="Arial" w:cs="Arial"/>
        </w:rPr>
      </w:pPr>
      <w:r w:rsidRPr="00370F1F">
        <w:rPr>
          <w:rStyle w:val="Refdenotaderodap"/>
          <w:rFonts w:ascii="Arial" w:hAnsi="Arial" w:cs="Arial"/>
        </w:rPr>
        <w:footnoteRef/>
      </w:r>
      <w:r w:rsidRPr="00370F1F">
        <w:rPr>
          <w:rFonts w:ascii="Arial" w:hAnsi="Arial" w:cs="Arial"/>
        </w:rPr>
        <w:t xml:space="preserve"> Fonte: </w:t>
      </w:r>
      <w:hyperlink r:id="rId3" w:history="1">
        <w:r w:rsidRPr="00370F1F">
          <w:rPr>
            <w:rStyle w:val="Hyperlink"/>
            <w:rFonts w:ascii="Arial" w:hAnsi="Arial" w:cs="Arial"/>
          </w:rPr>
          <w:t>http://www.ipeadata.gov.br/Default.aspx</w:t>
        </w:r>
      </w:hyperlink>
      <w:r w:rsidRPr="00370F1F">
        <w:rPr>
          <w:rFonts w:ascii="Arial" w:hAnsi="Arial" w:cs="Arial"/>
        </w:rPr>
        <w:t xml:space="preserve">. Exceto os anos de 2000 e 2010, obtidos do Atlas de Desenvolvimento Humano no Brasil, disponível em </w:t>
      </w:r>
      <w:hyperlink r:id="rId4" w:history="1">
        <w:r w:rsidRPr="00126D15">
          <w:rPr>
            <w:rStyle w:val="Hyperlink"/>
            <w:rFonts w:ascii="Arial" w:hAnsi="Arial" w:cs="Arial"/>
          </w:rPr>
          <w:t>http://atlasbrasil.org.br/2013/</w:t>
        </w:r>
      </w:hyperlink>
      <w:r>
        <w:rPr>
          <w:rFonts w:ascii="Arial" w:hAnsi="Arial" w:cs="Arial"/>
        </w:rPr>
        <w:t xml:space="preserve"> </w:t>
      </w:r>
    </w:p>
  </w:footnote>
  <w:footnote w:id="8">
    <w:p w14:paraId="5DBBA20A" w14:textId="1E51CCCF" w:rsidR="00854093" w:rsidRPr="00370F1F" w:rsidRDefault="00854093">
      <w:pPr>
        <w:pStyle w:val="Textodenotaderodap"/>
        <w:rPr>
          <w:rFonts w:ascii="Arial" w:hAnsi="Arial" w:cs="Arial"/>
        </w:rPr>
      </w:pPr>
      <w:r w:rsidRPr="00370F1F">
        <w:rPr>
          <w:rStyle w:val="Refdenotaderodap"/>
          <w:rFonts w:ascii="Arial" w:hAnsi="Arial" w:cs="Arial"/>
        </w:rPr>
        <w:footnoteRef/>
      </w:r>
      <w:r w:rsidRPr="00370F1F">
        <w:rPr>
          <w:rFonts w:ascii="Arial" w:hAnsi="Arial" w:cs="Arial"/>
        </w:rPr>
        <w:t xml:space="preserve"> Fonte: </w:t>
      </w:r>
      <w:hyperlink r:id="rId5" w:history="1">
        <w:r w:rsidRPr="00370F1F">
          <w:rPr>
            <w:rStyle w:val="Hyperlink"/>
            <w:rFonts w:ascii="Arial" w:hAnsi="Arial" w:cs="Arial"/>
          </w:rPr>
          <w:t>http://www2.datasus.gov.br/DATASUS/index.php?area=0205</w:t>
        </w:r>
      </w:hyperlink>
    </w:p>
  </w:footnote>
  <w:footnote w:id="9">
    <w:p w14:paraId="05E2A286" w14:textId="062BABAF" w:rsidR="00854093" w:rsidRPr="00370F1F" w:rsidRDefault="00854093">
      <w:pPr>
        <w:pStyle w:val="Textodenotaderodap"/>
        <w:rPr>
          <w:rFonts w:ascii="Arial" w:hAnsi="Arial" w:cs="Arial"/>
        </w:rPr>
      </w:pPr>
      <w:r w:rsidRPr="00370F1F">
        <w:rPr>
          <w:rStyle w:val="Refdenotaderodap"/>
          <w:rFonts w:ascii="Arial" w:hAnsi="Arial" w:cs="Arial"/>
        </w:rPr>
        <w:footnoteRef/>
      </w:r>
      <w:r w:rsidRPr="00370F1F">
        <w:rPr>
          <w:rFonts w:ascii="Arial" w:hAnsi="Arial" w:cs="Arial"/>
        </w:rPr>
        <w:t xml:space="preserve"> Fonte: </w:t>
      </w:r>
      <w:hyperlink r:id="rId6" w:history="1">
        <w:r w:rsidRPr="00126D15">
          <w:rPr>
            <w:rStyle w:val="Hyperlink"/>
            <w:rFonts w:ascii="Arial" w:hAnsi="Arial" w:cs="Arial"/>
          </w:rPr>
          <w:t>http://www.ipeadata.gov.br/Default.aspx</w:t>
        </w:r>
      </w:hyperlink>
      <w:r>
        <w:rPr>
          <w:rFonts w:ascii="Arial" w:hAnsi="Arial" w:cs="Arial"/>
        </w:rPr>
        <w:t xml:space="preserve"> </w:t>
      </w:r>
    </w:p>
  </w:footnote>
  <w:footnote w:id="10">
    <w:p w14:paraId="16C4CDE9" w14:textId="045156FB" w:rsidR="00854093" w:rsidRPr="00370F1F" w:rsidRDefault="00854093">
      <w:pPr>
        <w:pStyle w:val="Textodenotaderodap"/>
        <w:rPr>
          <w:rFonts w:ascii="Arial" w:hAnsi="Arial" w:cs="Arial"/>
        </w:rPr>
      </w:pPr>
      <w:r w:rsidRPr="00370F1F">
        <w:rPr>
          <w:rStyle w:val="Refdenotaderodap"/>
          <w:rFonts w:ascii="Arial" w:hAnsi="Arial" w:cs="Arial"/>
        </w:rPr>
        <w:footnoteRef/>
      </w:r>
      <w:r w:rsidRPr="00370F1F">
        <w:rPr>
          <w:rFonts w:ascii="Arial" w:hAnsi="Arial" w:cs="Arial"/>
        </w:rPr>
        <w:t xml:space="preserve"> Fonte: </w:t>
      </w:r>
      <w:hyperlink r:id="rId7" w:history="1">
        <w:r w:rsidRPr="00126D15">
          <w:rPr>
            <w:rStyle w:val="Hyperlink"/>
            <w:rFonts w:ascii="Arial" w:hAnsi="Arial" w:cs="Arial"/>
          </w:rPr>
          <w:t>http://www.ipeadata.gov.br/Default.aspx</w:t>
        </w:r>
      </w:hyperlink>
      <w:r>
        <w:rPr>
          <w:rFonts w:ascii="Arial" w:hAnsi="Arial" w:cs="Arial"/>
        </w:rPr>
        <w:t xml:space="preserve"> e </w:t>
      </w:r>
      <w:hyperlink r:id="rId8" w:history="1">
        <w:r w:rsidRPr="00126D15">
          <w:rPr>
            <w:rStyle w:val="Hyperlink"/>
            <w:rFonts w:ascii="Arial" w:hAnsi="Arial" w:cs="Arial"/>
          </w:rPr>
          <w:t>https://sidra.ibge.gov.br/tabela/1286</w:t>
        </w:r>
      </w:hyperlink>
    </w:p>
  </w:footnote>
  <w:footnote w:id="11">
    <w:p w14:paraId="0673E151" w14:textId="77777777" w:rsidR="00854093" w:rsidRPr="00A938FF" w:rsidRDefault="00854093" w:rsidP="0049714C">
      <w:pPr>
        <w:pStyle w:val="Textodenotaderodap"/>
        <w:jc w:val="both"/>
        <w:rPr>
          <w:sz w:val="18"/>
          <w:szCs w:val="18"/>
        </w:rPr>
      </w:pPr>
      <w:r w:rsidRPr="00A938FF">
        <w:rPr>
          <w:rStyle w:val="Refdenotaderodap"/>
          <w:sz w:val="18"/>
          <w:szCs w:val="18"/>
        </w:rPr>
        <w:footnoteRef/>
      </w:r>
      <w:r w:rsidRPr="00A938FF">
        <w:rPr>
          <w:sz w:val="18"/>
          <w:szCs w:val="18"/>
        </w:rPr>
        <w:t xml:space="preserve"> Heterogeneidade do indivíduo, heterogeneidade da empresa, heterogeneidade da cidade etc.</w:t>
      </w:r>
    </w:p>
  </w:footnote>
  <w:footnote w:id="12">
    <w:p w14:paraId="26979780" w14:textId="77777777" w:rsidR="00854093" w:rsidRPr="00C44384" w:rsidRDefault="00854093" w:rsidP="0049714C">
      <w:pPr>
        <w:pStyle w:val="Textodenotaderodap"/>
        <w:jc w:val="both"/>
        <w:rPr>
          <w:rFonts w:ascii="Arial" w:hAnsi="Arial" w:cs="Arial"/>
          <w:sz w:val="18"/>
          <w:szCs w:val="18"/>
        </w:rPr>
      </w:pPr>
      <w:r w:rsidRPr="00A938FF">
        <w:rPr>
          <w:rStyle w:val="Refdenotaderodap"/>
          <w:sz w:val="18"/>
          <w:szCs w:val="18"/>
        </w:rPr>
        <w:footnoteRef/>
      </w:r>
      <w:r w:rsidRPr="00A938FF">
        <w:rPr>
          <w:sz w:val="18"/>
          <w:szCs w:val="18"/>
        </w:rPr>
        <w:t xml:space="preserve"> Por exemplo, detalhes geográficos, como localização da cidade, estão incluídos nesse termo. Muitos outros fatores podem não ser exatamente constantes, mas podem ser aproximadamente constantes ao longo de um período de cinco anos, por exemplo, características demográficas da população (idade, raça e educação), fatores históricos (cada </w:t>
      </w:r>
      <w:r w:rsidRPr="00A938FF">
        <w:rPr>
          <w:color w:val="000000" w:themeColor="text1"/>
          <w:sz w:val="18"/>
          <w:szCs w:val="18"/>
        </w:rPr>
        <w:t>cidade possui diferentes métodos de se registrar criminalidade e atitudes diferentes ante a criminalidade), etc. (WOOLDRIDGE, 2011, p. 430).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3471C" w14:textId="6B1986B7" w:rsidR="00854093" w:rsidRDefault="00854093" w:rsidP="009C0A55">
    <w:pPr>
      <w:pStyle w:val="Cabealho"/>
      <w:jc w:val="center"/>
    </w:pPr>
    <w:r>
      <w:rPr>
        <w:noProof/>
        <w:lang w:eastAsia="pt-BR"/>
      </w:rPr>
      <w:drawing>
        <wp:inline distT="0" distB="0" distL="0" distR="0" wp14:anchorId="064DC535" wp14:editId="4C120A14">
          <wp:extent cx="5391150" cy="552450"/>
          <wp:effectExtent l="0" t="0" r="0" b="0"/>
          <wp:docPr id="2" name="Imagem 2" descr="logo_extenso-uma-li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xtenso-uma-linh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0"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41859"/>
    <w:multiLevelType w:val="hybridMultilevel"/>
    <w:tmpl w:val="AB683BAA"/>
    <w:lvl w:ilvl="0" w:tplc="6042358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4C767F5"/>
    <w:multiLevelType w:val="hybridMultilevel"/>
    <w:tmpl w:val="210051AC"/>
    <w:lvl w:ilvl="0" w:tplc="397460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6690F8B"/>
    <w:multiLevelType w:val="hybridMultilevel"/>
    <w:tmpl w:val="8242B9D2"/>
    <w:lvl w:ilvl="0" w:tplc="6CCC498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AA30DD1"/>
    <w:multiLevelType w:val="hybridMultilevel"/>
    <w:tmpl w:val="2D3262F4"/>
    <w:lvl w:ilvl="0" w:tplc="527E457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81"/>
    <w:rsid w:val="0002583C"/>
    <w:rsid w:val="00030F86"/>
    <w:rsid w:val="00032413"/>
    <w:rsid w:val="00047481"/>
    <w:rsid w:val="00053424"/>
    <w:rsid w:val="00076C35"/>
    <w:rsid w:val="000A0B0F"/>
    <w:rsid w:val="000B5C0F"/>
    <w:rsid w:val="000B788D"/>
    <w:rsid w:val="000C1019"/>
    <w:rsid w:val="000C6089"/>
    <w:rsid w:val="000D6A1D"/>
    <w:rsid w:val="000D7B3A"/>
    <w:rsid w:val="000F0979"/>
    <w:rsid w:val="000F32B1"/>
    <w:rsid w:val="00104A71"/>
    <w:rsid w:val="00107504"/>
    <w:rsid w:val="0011148B"/>
    <w:rsid w:val="00113C35"/>
    <w:rsid w:val="00133B33"/>
    <w:rsid w:val="00147281"/>
    <w:rsid w:val="00147FDA"/>
    <w:rsid w:val="00180823"/>
    <w:rsid w:val="001914E9"/>
    <w:rsid w:val="00194250"/>
    <w:rsid w:val="001C33C3"/>
    <w:rsid w:val="001E20FB"/>
    <w:rsid w:val="001E3CC5"/>
    <w:rsid w:val="001F6D82"/>
    <w:rsid w:val="001F7BB2"/>
    <w:rsid w:val="0023637A"/>
    <w:rsid w:val="00236D19"/>
    <w:rsid w:val="0024352C"/>
    <w:rsid w:val="002657F2"/>
    <w:rsid w:val="00270BD1"/>
    <w:rsid w:val="00271E5F"/>
    <w:rsid w:val="00273966"/>
    <w:rsid w:val="002744A8"/>
    <w:rsid w:val="00277388"/>
    <w:rsid w:val="00277BF6"/>
    <w:rsid w:val="00280C4C"/>
    <w:rsid w:val="00292193"/>
    <w:rsid w:val="00292D3E"/>
    <w:rsid w:val="002A4A9E"/>
    <w:rsid w:val="002C1F10"/>
    <w:rsid w:val="002D0203"/>
    <w:rsid w:val="002D1A58"/>
    <w:rsid w:val="002D7804"/>
    <w:rsid w:val="002D7C90"/>
    <w:rsid w:val="002E6183"/>
    <w:rsid w:val="002E6461"/>
    <w:rsid w:val="002F1F85"/>
    <w:rsid w:val="00304598"/>
    <w:rsid w:val="00310FDB"/>
    <w:rsid w:val="00321D5F"/>
    <w:rsid w:val="00326A0A"/>
    <w:rsid w:val="0033297E"/>
    <w:rsid w:val="003343E0"/>
    <w:rsid w:val="00357449"/>
    <w:rsid w:val="00360E54"/>
    <w:rsid w:val="00370F1F"/>
    <w:rsid w:val="00381FF0"/>
    <w:rsid w:val="003822AF"/>
    <w:rsid w:val="003911D7"/>
    <w:rsid w:val="00392209"/>
    <w:rsid w:val="00396B14"/>
    <w:rsid w:val="00397952"/>
    <w:rsid w:val="003A04CB"/>
    <w:rsid w:val="003A0662"/>
    <w:rsid w:val="003A0C53"/>
    <w:rsid w:val="003A5290"/>
    <w:rsid w:val="003C0752"/>
    <w:rsid w:val="003D159F"/>
    <w:rsid w:val="003D465C"/>
    <w:rsid w:val="00431DE1"/>
    <w:rsid w:val="00436379"/>
    <w:rsid w:val="00441005"/>
    <w:rsid w:val="00443FD7"/>
    <w:rsid w:val="004503D5"/>
    <w:rsid w:val="00455736"/>
    <w:rsid w:val="00456646"/>
    <w:rsid w:val="0047071D"/>
    <w:rsid w:val="0047417C"/>
    <w:rsid w:val="00484632"/>
    <w:rsid w:val="00491598"/>
    <w:rsid w:val="00495CBB"/>
    <w:rsid w:val="0049714C"/>
    <w:rsid w:val="004A30C0"/>
    <w:rsid w:val="004B2ECF"/>
    <w:rsid w:val="004B34A1"/>
    <w:rsid w:val="004C2459"/>
    <w:rsid w:val="004D3CFE"/>
    <w:rsid w:val="004E0034"/>
    <w:rsid w:val="004F2583"/>
    <w:rsid w:val="00511F5B"/>
    <w:rsid w:val="00515355"/>
    <w:rsid w:val="005162A9"/>
    <w:rsid w:val="00523A0F"/>
    <w:rsid w:val="0054788A"/>
    <w:rsid w:val="00555499"/>
    <w:rsid w:val="00584AAD"/>
    <w:rsid w:val="00593BC9"/>
    <w:rsid w:val="005B1E27"/>
    <w:rsid w:val="005B245B"/>
    <w:rsid w:val="005B2786"/>
    <w:rsid w:val="005B51EC"/>
    <w:rsid w:val="005B6709"/>
    <w:rsid w:val="005C2305"/>
    <w:rsid w:val="005C5CB9"/>
    <w:rsid w:val="005D1C16"/>
    <w:rsid w:val="005D6B97"/>
    <w:rsid w:val="005E6D61"/>
    <w:rsid w:val="00605CE6"/>
    <w:rsid w:val="006140C8"/>
    <w:rsid w:val="0061653F"/>
    <w:rsid w:val="00627A37"/>
    <w:rsid w:val="0063287D"/>
    <w:rsid w:val="0063459D"/>
    <w:rsid w:val="00650A14"/>
    <w:rsid w:val="00653DC9"/>
    <w:rsid w:val="0066462E"/>
    <w:rsid w:val="006714C6"/>
    <w:rsid w:val="00673DDA"/>
    <w:rsid w:val="0068630C"/>
    <w:rsid w:val="00693450"/>
    <w:rsid w:val="00693709"/>
    <w:rsid w:val="006A1B6E"/>
    <w:rsid w:val="006A5AEC"/>
    <w:rsid w:val="006C62F4"/>
    <w:rsid w:val="006C65A1"/>
    <w:rsid w:val="006D037E"/>
    <w:rsid w:val="006E0691"/>
    <w:rsid w:val="006E6F45"/>
    <w:rsid w:val="006F4A63"/>
    <w:rsid w:val="00701772"/>
    <w:rsid w:val="00717413"/>
    <w:rsid w:val="007237AF"/>
    <w:rsid w:val="007419FD"/>
    <w:rsid w:val="007440A5"/>
    <w:rsid w:val="0076513A"/>
    <w:rsid w:val="0079695F"/>
    <w:rsid w:val="007A0C98"/>
    <w:rsid w:val="007A4899"/>
    <w:rsid w:val="007B143A"/>
    <w:rsid w:val="007C58F9"/>
    <w:rsid w:val="007D51A9"/>
    <w:rsid w:val="007E014D"/>
    <w:rsid w:val="00802569"/>
    <w:rsid w:val="00802836"/>
    <w:rsid w:val="00806B09"/>
    <w:rsid w:val="00813C71"/>
    <w:rsid w:val="0083238F"/>
    <w:rsid w:val="00842826"/>
    <w:rsid w:val="00854093"/>
    <w:rsid w:val="00854C16"/>
    <w:rsid w:val="0088266D"/>
    <w:rsid w:val="00886A40"/>
    <w:rsid w:val="00887920"/>
    <w:rsid w:val="008A1B1A"/>
    <w:rsid w:val="008A2462"/>
    <w:rsid w:val="008B4F62"/>
    <w:rsid w:val="008C1257"/>
    <w:rsid w:val="008C2E56"/>
    <w:rsid w:val="008E35A8"/>
    <w:rsid w:val="008E37A9"/>
    <w:rsid w:val="008F56D3"/>
    <w:rsid w:val="008F7C96"/>
    <w:rsid w:val="00952D5B"/>
    <w:rsid w:val="00967B5D"/>
    <w:rsid w:val="009714F1"/>
    <w:rsid w:val="0097513B"/>
    <w:rsid w:val="009854EC"/>
    <w:rsid w:val="00986E56"/>
    <w:rsid w:val="00993AE7"/>
    <w:rsid w:val="00997E2F"/>
    <w:rsid w:val="009A5F99"/>
    <w:rsid w:val="009A79D2"/>
    <w:rsid w:val="009B44E6"/>
    <w:rsid w:val="009C0A55"/>
    <w:rsid w:val="009C30B4"/>
    <w:rsid w:val="009D7B59"/>
    <w:rsid w:val="009E205A"/>
    <w:rsid w:val="009F0C98"/>
    <w:rsid w:val="009F1659"/>
    <w:rsid w:val="00A0452B"/>
    <w:rsid w:val="00A058BA"/>
    <w:rsid w:val="00A30D81"/>
    <w:rsid w:val="00A37036"/>
    <w:rsid w:val="00A406D0"/>
    <w:rsid w:val="00A41D38"/>
    <w:rsid w:val="00A43D25"/>
    <w:rsid w:val="00A476BF"/>
    <w:rsid w:val="00A5443A"/>
    <w:rsid w:val="00A61273"/>
    <w:rsid w:val="00A70177"/>
    <w:rsid w:val="00A75217"/>
    <w:rsid w:val="00A869B2"/>
    <w:rsid w:val="00A951E7"/>
    <w:rsid w:val="00AC0818"/>
    <w:rsid w:val="00AD3B3F"/>
    <w:rsid w:val="00AD50E4"/>
    <w:rsid w:val="00AE668A"/>
    <w:rsid w:val="00AF708B"/>
    <w:rsid w:val="00B043E2"/>
    <w:rsid w:val="00B124B9"/>
    <w:rsid w:val="00B1386D"/>
    <w:rsid w:val="00B21BAE"/>
    <w:rsid w:val="00B24002"/>
    <w:rsid w:val="00B25E9B"/>
    <w:rsid w:val="00B26214"/>
    <w:rsid w:val="00B27286"/>
    <w:rsid w:val="00B33D61"/>
    <w:rsid w:val="00B7143B"/>
    <w:rsid w:val="00B82A07"/>
    <w:rsid w:val="00B96E7C"/>
    <w:rsid w:val="00B97079"/>
    <w:rsid w:val="00BA02AF"/>
    <w:rsid w:val="00BA5308"/>
    <w:rsid w:val="00BB67F2"/>
    <w:rsid w:val="00BD7CDB"/>
    <w:rsid w:val="00BE0D85"/>
    <w:rsid w:val="00BE23D6"/>
    <w:rsid w:val="00BE567F"/>
    <w:rsid w:val="00BF020D"/>
    <w:rsid w:val="00BF02B6"/>
    <w:rsid w:val="00BF03F6"/>
    <w:rsid w:val="00BF0D81"/>
    <w:rsid w:val="00BF1119"/>
    <w:rsid w:val="00BF55D6"/>
    <w:rsid w:val="00BF70E9"/>
    <w:rsid w:val="00C03A16"/>
    <w:rsid w:val="00C049AC"/>
    <w:rsid w:val="00C12C27"/>
    <w:rsid w:val="00C258B8"/>
    <w:rsid w:val="00C27E0F"/>
    <w:rsid w:val="00C35930"/>
    <w:rsid w:val="00C62482"/>
    <w:rsid w:val="00C67458"/>
    <w:rsid w:val="00C7196A"/>
    <w:rsid w:val="00C80D4B"/>
    <w:rsid w:val="00C93F50"/>
    <w:rsid w:val="00CB1460"/>
    <w:rsid w:val="00CC3262"/>
    <w:rsid w:val="00CC3F15"/>
    <w:rsid w:val="00CC4899"/>
    <w:rsid w:val="00CD6740"/>
    <w:rsid w:val="00CE5F6A"/>
    <w:rsid w:val="00CF5FE8"/>
    <w:rsid w:val="00D1472D"/>
    <w:rsid w:val="00D3000E"/>
    <w:rsid w:val="00D64A9C"/>
    <w:rsid w:val="00D701BA"/>
    <w:rsid w:val="00D70E15"/>
    <w:rsid w:val="00D937CE"/>
    <w:rsid w:val="00D94D11"/>
    <w:rsid w:val="00D9555E"/>
    <w:rsid w:val="00DC0294"/>
    <w:rsid w:val="00DD0F65"/>
    <w:rsid w:val="00DD114C"/>
    <w:rsid w:val="00DD62AC"/>
    <w:rsid w:val="00DF4A2E"/>
    <w:rsid w:val="00DF6D46"/>
    <w:rsid w:val="00E059D1"/>
    <w:rsid w:val="00E4232B"/>
    <w:rsid w:val="00E4323A"/>
    <w:rsid w:val="00E85A40"/>
    <w:rsid w:val="00E87344"/>
    <w:rsid w:val="00EA0B23"/>
    <w:rsid w:val="00EA7E25"/>
    <w:rsid w:val="00EC2228"/>
    <w:rsid w:val="00EC41F0"/>
    <w:rsid w:val="00EC58DC"/>
    <w:rsid w:val="00ED0FFE"/>
    <w:rsid w:val="00ED2ABF"/>
    <w:rsid w:val="00EE6B05"/>
    <w:rsid w:val="00EF5633"/>
    <w:rsid w:val="00F00DB0"/>
    <w:rsid w:val="00F04192"/>
    <w:rsid w:val="00F0521A"/>
    <w:rsid w:val="00F21848"/>
    <w:rsid w:val="00F23D7B"/>
    <w:rsid w:val="00F24C0C"/>
    <w:rsid w:val="00F4484A"/>
    <w:rsid w:val="00F513BA"/>
    <w:rsid w:val="00F6057B"/>
    <w:rsid w:val="00F61637"/>
    <w:rsid w:val="00F65856"/>
    <w:rsid w:val="00F65E94"/>
    <w:rsid w:val="00F71A8C"/>
    <w:rsid w:val="00F83DF8"/>
    <w:rsid w:val="00F97115"/>
    <w:rsid w:val="00FE71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9D846CA"/>
  <w15:docId w15:val="{98B039FB-B0C7-4A53-91DE-DFEB6E68C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F6D4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44100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F6D46"/>
    <w:rPr>
      <w:rFonts w:asciiTheme="majorHAnsi" w:eastAsiaTheme="majorEastAsia" w:hAnsiTheme="majorHAnsi" w:cstheme="majorBidi"/>
      <w:color w:val="2F5496" w:themeColor="accent1" w:themeShade="BF"/>
      <w:sz w:val="32"/>
      <w:szCs w:val="32"/>
    </w:rPr>
  </w:style>
  <w:style w:type="paragraph" w:styleId="Ttulo">
    <w:name w:val="Title"/>
    <w:basedOn w:val="Normal"/>
    <w:next w:val="Normal"/>
    <w:link w:val="TtuloChar"/>
    <w:uiPriority w:val="10"/>
    <w:qFormat/>
    <w:rsid w:val="00802836"/>
    <w:pPr>
      <w:contextualSpacing/>
    </w:pPr>
    <w:rPr>
      <w:rFonts w:ascii="Arial" w:eastAsiaTheme="majorEastAsia" w:hAnsi="Arial" w:cs="Arial"/>
      <w:b/>
      <w:bCs/>
      <w:spacing w:val="-10"/>
      <w:kern w:val="28"/>
      <w:sz w:val="32"/>
      <w:szCs w:val="32"/>
    </w:rPr>
  </w:style>
  <w:style w:type="character" w:customStyle="1" w:styleId="TtuloChar">
    <w:name w:val="Título Char"/>
    <w:basedOn w:val="Fontepargpadro"/>
    <w:link w:val="Ttulo"/>
    <w:uiPriority w:val="10"/>
    <w:rsid w:val="00802836"/>
    <w:rPr>
      <w:rFonts w:ascii="Arial" w:eastAsiaTheme="majorEastAsia" w:hAnsi="Arial" w:cs="Arial"/>
      <w:b/>
      <w:bCs/>
      <w:spacing w:val="-10"/>
      <w:kern w:val="28"/>
      <w:sz w:val="32"/>
      <w:szCs w:val="32"/>
    </w:rPr>
  </w:style>
  <w:style w:type="paragraph" w:styleId="NormalWeb">
    <w:name w:val="Normal (Web)"/>
    <w:basedOn w:val="Normal"/>
    <w:uiPriority w:val="99"/>
    <w:semiHidden/>
    <w:unhideWhenUsed/>
    <w:rsid w:val="00717413"/>
    <w:pPr>
      <w:spacing w:before="100" w:beforeAutospacing="1" w:after="100" w:afterAutospacing="1"/>
    </w:pPr>
    <w:rPr>
      <w:rFonts w:ascii="Times New Roman" w:eastAsia="Times New Roman" w:hAnsi="Times New Roman" w:cs="Times New Roman"/>
      <w:lang w:eastAsia="pt-BR"/>
    </w:rPr>
  </w:style>
  <w:style w:type="character" w:styleId="Refdecomentrio">
    <w:name w:val="annotation reference"/>
    <w:basedOn w:val="Fontepargpadro"/>
    <w:uiPriority w:val="99"/>
    <w:semiHidden/>
    <w:unhideWhenUsed/>
    <w:rsid w:val="001C33C3"/>
    <w:rPr>
      <w:sz w:val="16"/>
      <w:szCs w:val="16"/>
    </w:rPr>
  </w:style>
  <w:style w:type="paragraph" w:styleId="Textodecomentrio">
    <w:name w:val="annotation text"/>
    <w:basedOn w:val="Normal"/>
    <w:link w:val="TextodecomentrioChar"/>
    <w:uiPriority w:val="99"/>
    <w:semiHidden/>
    <w:unhideWhenUsed/>
    <w:rsid w:val="001C33C3"/>
    <w:rPr>
      <w:sz w:val="20"/>
      <w:szCs w:val="20"/>
    </w:rPr>
  </w:style>
  <w:style w:type="character" w:customStyle="1" w:styleId="TextodecomentrioChar">
    <w:name w:val="Texto de comentário Char"/>
    <w:basedOn w:val="Fontepargpadro"/>
    <w:link w:val="Textodecomentrio"/>
    <w:uiPriority w:val="99"/>
    <w:semiHidden/>
    <w:rsid w:val="001C33C3"/>
    <w:rPr>
      <w:sz w:val="20"/>
      <w:szCs w:val="20"/>
    </w:rPr>
  </w:style>
  <w:style w:type="paragraph" w:styleId="Assuntodocomentrio">
    <w:name w:val="annotation subject"/>
    <w:basedOn w:val="Textodecomentrio"/>
    <w:next w:val="Textodecomentrio"/>
    <w:link w:val="AssuntodocomentrioChar"/>
    <w:uiPriority w:val="99"/>
    <w:semiHidden/>
    <w:unhideWhenUsed/>
    <w:rsid w:val="001C33C3"/>
    <w:rPr>
      <w:b/>
      <w:bCs/>
    </w:rPr>
  </w:style>
  <w:style w:type="character" w:customStyle="1" w:styleId="AssuntodocomentrioChar">
    <w:name w:val="Assunto do comentário Char"/>
    <w:basedOn w:val="TextodecomentrioChar"/>
    <w:link w:val="Assuntodocomentrio"/>
    <w:uiPriority w:val="99"/>
    <w:semiHidden/>
    <w:rsid w:val="001C33C3"/>
    <w:rPr>
      <w:b/>
      <w:bCs/>
      <w:sz w:val="20"/>
      <w:szCs w:val="20"/>
    </w:rPr>
  </w:style>
  <w:style w:type="paragraph" w:styleId="Textodebalo">
    <w:name w:val="Balloon Text"/>
    <w:basedOn w:val="Normal"/>
    <w:link w:val="TextodebaloChar"/>
    <w:uiPriority w:val="99"/>
    <w:semiHidden/>
    <w:unhideWhenUsed/>
    <w:rsid w:val="001C33C3"/>
    <w:rPr>
      <w:rFonts w:ascii="Segoe UI" w:hAnsi="Segoe UI" w:cs="Segoe UI"/>
      <w:sz w:val="18"/>
      <w:szCs w:val="18"/>
    </w:rPr>
  </w:style>
  <w:style w:type="character" w:customStyle="1" w:styleId="TextodebaloChar">
    <w:name w:val="Texto de balão Char"/>
    <w:basedOn w:val="Fontepargpadro"/>
    <w:link w:val="Textodebalo"/>
    <w:uiPriority w:val="99"/>
    <w:semiHidden/>
    <w:rsid w:val="001C33C3"/>
    <w:rPr>
      <w:rFonts w:ascii="Segoe UI" w:hAnsi="Segoe UI" w:cs="Segoe UI"/>
      <w:sz w:val="18"/>
      <w:szCs w:val="18"/>
    </w:rPr>
  </w:style>
  <w:style w:type="paragraph" w:styleId="PargrafodaLista">
    <w:name w:val="List Paragraph"/>
    <w:basedOn w:val="Normal"/>
    <w:uiPriority w:val="34"/>
    <w:qFormat/>
    <w:rsid w:val="003A0662"/>
    <w:pPr>
      <w:ind w:left="720"/>
      <w:contextualSpacing/>
    </w:pPr>
  </w:style>
  <w:style w:type="table" w:styleId="Tabelacomgrade">
    <w:name w:val="Table Grid"/>
    <w:basedOn w:val="Tabelanormal"/>
    <w:uiPriority w:val="39"/>
    <w:rsid w:val="00BE5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unhideWhenUsed/>
    <w:rsid w:val="003822AF"/>
    <w:rPr>
      <w:sz w:val="20"/>
      <w:szCs w:val="20"/>
    </w:rPr>
  </w:style>
  <w:style w:type="character" w:customStyle="1" w:styleId="TextodenotaderodapChar">
    <w:name w:val="Texto de nota de rodapé Char"/>
    <w:basedOn w:val="Fontepargpadro"/>
    <w:link w:val="Textodenotaderodap"/>
    <w:uiPriority w:val="99"/>
    <w:rsid w:val="003822AF"/>
    <w:rPr>
      <w:sz w:val="20"/>
      <w:szCs w:val="20"/>
    </w:rPr>
  </w:style>
  <w:style w:type="character" w:styleId="Refdenotaderodap">
    <w:name w:val="footnote reference"/>
    <w:basedOn w:val="Fontepargpadro"/>
    <w:uiPriority w:val="99"/>
    <w:unhideWhenUsed/>
    <w:rsid w:val="003822AF"/>
    <w:rPr>
      <w:vertAlign w:val="superscript"/>
    </w:rPr>
  </w:style>
  <w:style w:type="character" w:styleId="Hyperlink">
    <w:name w:val="Hyperlink"/>
    <w:basedOn w:val="Fontepargpadro"/>
    <w:uiPriority w:val="99"/>
    <w:unhideWhenUsed/>
    <w:rsid w:val="003822AF"/>
    <w:rPr>
      <w:color w:val="0563C1" w:themeColor="hyperlink"/>
      <w:u w:val="single"/>
    </w:rPr>
  </w:style>
  <w:style w:type="character" w:customStyle="1" w:styleId="MenoPendente1">
    <w:name w:val="Menção Pendente1"/>
    <w:basedOn w:val="Fontepargpadro"/>
    <w:uiPriority w:val="99"/>
    <w:semiHidden/>
    <w:unhideWhenUsed/>
    <w:rsid w:val="003822AF"/>
    <w:rPr>
      <w:color w:val="605E5C"/>
      <w:shd w:val="clear" w:color="auto" w:fill="E1DFDD"/>
    </w:rPr>
  </w:style>
  <w:style w:type="paragraph" w:styleId="Cabealho">
    <w:name w:val="header"/>
    <w:basedOn w:val="Normal"/>
    <w:link w:val="CabealhoChar"/>
    <w:uiPriority w:val="99"/>
    <w:unhideWhenUsed/>
    <w:rsid w:val="000C1019"/>
    <w:pPr>
      <w:tabs>
        <w:tab w:val="center" w:pos="4252"/>
        <w:tab w:val="right" w:pos="8504"/>
      </w:tabs>
    </w:pPr>
  </w:style>
  <w:style w:type="character" w:customStyle="1" w:styleId="CabealhoChar">
    <w:name w:val="Cabeçalho Char"/>
    <w:basedOn w:val="Fontepargpadro"/>
    <w:link w:val="Cabealho"/>
    <w:uiPriority w:val="99"/>
    <w:rsid w:val="000C1019"/>
  </w:style>
  <w:style w:type="paragraph" w:styleId="Rodap">
    <w:name w:val="footer"/>
    <w:basedOn w:val="Normal"/>
    <w:link w:val="RodapChar"/>
    <w:uiPriority w:val="99"/>
    <w:unhideWhenUsed/>
    <w:rsid w:val="000C1019"/>
    <w:pPr>
      <w:tabs>
        <w:tab w:val="center" w:pos="4252"/>
        <w:tab w:val="right" w:pos="8504"/>
      </w:tabs>
    </w:pPr>
  </w:style>
  <w:style w:type="character" w:customStyle="1" w:styleId="RodapChar">
    <w:name w:val="Rodapé Char"/>
    <w:basedOn w:val="Fontepargpadro"/>
    <w:link w:val="Rodap"/>
    <w:uiPriority w:val="99"/>
    <w:rsid w:val="000C1019"/>
  </w:style>
  <w:style w:type="paragraph" w:styleId="Legenda">
    <w:name w:val="caption"/>
    <w:basedOn w:val="Normal"/>
    <w:next w:val="Normal"/>
    <w:uiPriority w:val="35"/>
    <w:unhideWhenUsed/>
    <w:qFormat/>
    <w:rsid w:val="00107504"/>
    <w:pPr>
      <w:spacing w:after="200"/>
    </w:pPr>
    <w:rPr>
      <w:i/>
      <w:iCs/>
      <w:color w:val="44546A" w:themeColor="text2"/>
      <w:sz w:val="18"/>
      <w:szCs w:val="18"/>
    </w:rPr>
  </w:style>
  <w:style w:type="paragraph" w:styleId="Subttulo">
    <w:name w:val="Subtitle"/>
    <w:basedOn w:val="Normal"/>
    <w:next w:val="Normal"/>
    <w:link w:val="SubttuloChar"/>
    <w:uiPriority w:val="11"/>
    <w:qFormat/>
    <w:rsid w:val="00802836"/>
    <w:pPr>
      <w:spacing w:line="360" w:lineRule="auto"/>
      <w:jc w:val="both"/>
    </w:pPr>
    <w:rPr>
      <w:rFonts w:ascii="Arial" w:hAnsi="Arial" w:cs="Arial"/>
      <w:b/>
      <w:bCs/>
      <w:sz w:val="28"/>
    </w:rPr>
  </w:style>
  <w:style w:type="character" w:customStyle="1" w:styleId="SubttuloChar">
    <w:name w:val="Subtítulo Char"/>
    <w:basedOn w:val="Fontepargpadro"/>
    <w:link w:val="Subttulo"/>
    <w:uiPriority w:val="11"/>
    <w:rsid w:val="00802836"/>
    <w:rPr>
      <w:rFonts w:ascii="Arial" w:hAnsi="Arial" w:cs="Arial"/>
      <w:b/>
      <w:bCs/>
      <w:sz w:val="28"/>
    </w:rPr>
  </w:style>
  <w:style w:type="paragraph" w:styleId="CabealhodoSumrio">
    <w:name w:val="TOC Heading"/>
    <w:basedOn w:val="Ttulo1"/>
    <w:next w:val="Normal"/>
    <w:uiPriority w:val="39"/>
    <w:unhideWhenUsed/>
    <w:qFormat/>
    <w:rsid w:val="00441005"/>
    <w:pPr>
      <w:spacing w:line="259" w:lineRule="auto"/>
      <w:outlineLvl w:val="9"/>
    </w:pPr>
    <w:rPr>
      <w:lang w:eastAsia="pt-BR"/>
    </w:rPr>
  </w:style>
  <w:style w:type="paragraph" w:styleId="Sumrio2">
    <w:name w:val="toc 2"/>
    <w:basedOn w:val="Normal"/>
    <w:next w:val="Normal"/>
    <w:autoRedefine/>
    <w:uiPriority w:val="39"/>
    <w:unhideWhenUsed/>
    <w:rsid w:val="00441005"/>
    <w:pPr>
      <w:spacing w:after="100" w:line="259" w:lineRule="auto"/>
      <w:ind w:left="220"/>
    </w:pPr>
    <w:rPr>
      <w:rFonts w:eastAsiaTheme="minorEastAsia" w:cs="Times New Roman"/>
      <w:sz w:val="22"/>
      <w:szCs w:val="22"/>
      <w:lang w:eastAsia="pt-BR"/>
    </w:rPr>
  </w:style>
  <w:style w:type="paragraph" w:styleId="Sumrio1">
    <w:name w:val="toc 1"/>
    <w:basedOn w:val="Normal"/>
    <w:next w:val="Normal"/>
    <w:autoRedefine/>
    <w:uiPriority w:val="39"/>
    <w:unhideWhenUsed/>
    <w:rsid w:val="009F0C98"/>
    <w:pPr>
      <w:tabs>
        <w:tab w:val="right" w:leader="dot" w:pos="8488"/>
      </w:tabs>
      <w:spacing w:after="100" w:line="259" w:lineRule="auto"/>
    </w:pPr>
    <w:rPr>
      <w:rFonts w:ascii="Arial" w:eastAsiaTheme="minorEastAsia" w:hAnsi="Arial" w:cs="Arial"/>
      <w:b/>
      <w:noProof/>
      <w:szCs w:val="22"/>
      <w:lang w:eastAsia="pt-BR"/>
    </w:rPr>
  </w:style>
  <w:style w:type="paragraph" w:styleId="Sumrio3">
    <w:name w:val="toc 3"/>
    <w:basedOn w:val="Normal"/>
    <w:next w:val="Normal"/>
    <w:autoRedefine/>
    <w:uiPriority w:val="39"/>
    <w:unhideWhenUsed/>
    <w:rsid w:val="00441005"/>
    <w:pPr>
      <w:spacing w:after="100" w:line="259" w:lineRule="auto"/>
      <w:ind w:left="440"/>
    </w:pPr>
    <w:rPr>
      <w:rFonts w:eastAsiaTheme="minorEastAsia" w:cs="Times New Roman"/>
      <w:sz w:val="22"/>
      <w:szCs w:val="22"/>
      <w:lang w:eastAsia="pt-BR"/>
    </w:rPr>
  </w:style>
  <w:style w:type="character" w:customStyle="1" w:styleId="Ttulo2Char">
    <w:name w:val="Título 2 Char"/>
    <w:basedOn w:val="Fontepargpadro"/>
    <w:link w:val="Ttulo2"/>
    <w:uiPriority w:val="9"/>
    <w:semiHidden/>
    <w:rsid w:val="0044100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525555">
      <w:bodyDiv w:val="1"/>
      <w:marLeft w:val="0"/>
      <w:marRight w:val="0"/>
      <w:marTop w:val="0"/>
      <w:marBottom w:val="0"/>
      <w:divBdr>
        <w:top w:val="none" w:sz="0" w:space="0" w:color="auto"/>
        <w:left w:val="none" w:sz="0" w:space="0" w:color="auto"/>
        <w:bottom w:val="none" w:sz="0" w:space="0" w:color="auto"/>
        <w:right w:val="none" w:sz="0" w:space="0" w:color="auto"/>
      </w:divBdr>
      <w:divsChild>
        <w:div w:id="2127889976">
          <w:marLeft w:val="0"/>
          <w:marRight w:val="0"/>
          <w:marTop w:val="0"/>
          <w:marBottom w:val="0"/>
          <w:divBdr>
            <w:top w:val="none" w:sz="0" w:space="0" w:color="auto"/>
            <w:left w:val="none" w:sz="0" w:space="0" w:color="auto"/>
            <w:bottom w:val="none" w:sz="0" w:space="0" w:color="auto"/>
            <w:right w:val="none" w:sz="0" w:space="0" w:color="auto"/>
          </w:divBdr>
          <w:divsChild>
            <w:div w:id="1825925918">
              <w:marLeft w:val="0"/>
              <w:marRight w:val="0"/>
              <w:marTop w:val="0"/>
              <w:marBottom w:val="0"/>
              <w:divBdr>
                <w:top w:val="none" w:sz="0" w:space="0" w:color="auto"/>
                <w:left w:val="none" w:sz="0" w:space="0" w:color="auto"/>
                <w:bottom w:val="none" w:sz="0" w:space="0" w:color="auto"/>
                <w:right w:val="none" w:sz="0" w:space="0" w:color="auto"/>
              </w:divBdr>
              <w:divsChild>
                <w:div w:id="13611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37894">
      <w:bodyDiv w:val="1"/>
      <w:marLeft w:val="0"/>
      <w:marRight w:val="0"/>
      <w:marTop w:val="0"/>
      <w:marBottom w:val="0"/>
      <w:divBdr>
        <w:top w:val="none" w:sz="0" w:space="0" w:color="auto"/>
        <w:left w:val="none" w:sz="0" w:space="0" w:color="auto"/>
        <w:bottom w:val="none" w:sz="0" w:space="0" w:color="auto"/>
        <w:right w:val="none" w:sz="0" w:space="0" w:color="auto"/>
      </w:divBdr>
    </w:div>
    <w:div w:id="1161503060">
      <w:bodyDiv w:val="1"/>
      <w:marLeft w:val="0"/>
      <w:marRight w:val="0"/>
      <w:marTop w:val="0"/>
      <w:marBottom w:val="0"/>
      <w:divBdr>
        <w:top w:val="none" w:sz="0" w:space="0" w:color="auto"/>
        <w:left w:val="none" w:sz="0" w:space="0" w:color="auto"/>
        <w:bottom w:val="none" w:sz="0" w:space="0" w:color="auto"/>
        <w:right w:val="none" w:sz="0" w:space="0" w:color="auto"/>
      </w:divBdr>
    </w:div>
    <w:div w:id="1686054686">
      <w:bodyDiv w:val="1"/>
      <w:marLeft w:val="0"/>
      <w:marRight w:val="0"/>
      <w:marTop w:val="0"/>
      <w:marBottom w:val="0"/>
      <w:divBdr>
        <w:top w:val="none" w:sz="0" w:space="0" w:color="auto"/>
        <w:left w:val="none" w:sz="0" w:space="0" w:color="auto"/>
        <w:bottom w:val="none" w:sz="0" w:space="0" w:color="auto"/>
        <w:right w:val="none" w:sz="0" w:space="0" w:color="auto"/>
      </w:divBdr>
    </w:div>
    <w:div w:id="194445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4/relationships/chartEx" Target="charts/chartEx3.xml"/><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microsoft.com/office/2014/relationships/chartEx" Target="charts/chartEx7.xml"/><Relationship Id="rId7" Type="http://schemas.openxmlformats.org/officeDocument/2006/relationships/endnotes" Target="endnotes.xml"/><Relationship Id="rId12" Type="http://schemas.openxmlformats.org/officeDocument/2006/relationships/image" Target="media/image3.png"/><Relationship Id="rId17" Type="http://schemas.microsoft.com/office/2014/relationships/chartEx" Target="charts/chartEx5.xml"/><Relationship Id="rId25" Type="http://schemas.microsoft.com/office/2014/relationships/chartEx" Target="charts/chartEx9.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4/relationships/chartEx" Target="charts/chartEx2.xml"/><Relationship Id="rId24" Type="http://schemas.openxmlformats.org/officeDocument/2006/relationships/image" Target="media/image9.png"/><Relationship Id="rId5" Type="http://schemas.openxmlformats.org/officeDocument/2006/relationships/webSettings" Target="webSettings.xml"/><Relationship Id="rId15" Type="http://schemas.microsoft.com/office/2014/relationships/chartEx" Target="charts/chartEx4.xml"/><Relationship Id="rId23" Type="http://schemas.microsoft.com/office/2014/relationships/chartEx" Target="charts/chartEx8.xml"/><Relationship Id="rId28" Type="http://schemas.openxmlformats.org/officeDocument/2006/relationships/theme" Target="theme/theme1.xml"/><Relationship Id="rId10" Type="http://schemas.openxmlformats.org/officeDocument/2006/relationships/image" Target="media/image2.png"/><Relationship Id="rId19" Type="http://schemas.microsoft.com/office/2014/relationships/chartEx" Target="charts/chartEx6.xml"/><Relationship Id="rId4" Type="http://schemas.openxmlformats.org/officeDocument/2006/relationships/settings" Target="settings.xml"/><Relationship Id="rId9" Type="http://schemas.microsoft.com/office/2014/relationships/chartEx" Target="charts/chartEx1.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idra.ibge.gov.br/tabela/1286" TargetMode="External"/><Relationship Id="rId3" Type="http://schemas.openxmlformats.org/officeDocument/2006/relationships/hyperlink" Target="http://www.ipeadata.gov.br/Default.aspx" TargetMode="External"/><Relationship Id="rId7" Type="http://schemas.openxmlformats.org/officeDocument/2006/relationships/hyperlink" Target="http://www.ipeadata.gov.br/Default.aspx" TargetMode="External"/><Relationship Id="rId2" Type="http://schemas.openxmlformats.org/officeDocument/2006/relationships/hyperlink" Target="http://www.ipeadata.gov.br/Default.aspx" TargetMode="External"/><Relationship Id="rId1" Type="http://schemas.openxmlformats.org/officeDocument/2006/relationships/hyperlink" Target="https://www.ibge.gov.br/estatisticas/economicas/contas-nacionais/9054-contas-regionais-do-brasil.html?=&amp;t=downloads" TargetMode="External"/><Relationship Id="rId6" Type="http://schemas.openxmlformats.org/officeDocument/2006/relationships/hyperlink" Target="http://www.ipeadata.gov.br/Default.aspx" TargetMode="External"/><Relationship Id="rId5" Type="http://schemas.openxmlformats.org/officeDocument/2006/relationships/hyperlink" Target="http://www2.datasus.gov.br/DATASUS/index.php?area=0205" TargetMode="External"/><Relationship Id="rId4" Type="http://schemas.openxmlformats.org/officeDocument/2006/relationships/hyperlink" Target="http://atlasbrasil.org.br/20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NULL"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NULL"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NULL"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NULL" TargetMode="External"/></Relationships>
</file>

<file path=word/charts/_rels/chartEx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NULL" TargetMode="External"/></Relationships>
</file>

<file path=word/charts/_rels/chartEx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NULL" TargetMode="External"/></Relationships>
</file>

<file path=word/charts/_rels/chartEx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NULL" TargetMode="External"/></Relationships>
</file>

<file path=word/charts/_rels/chartEx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NULL" TargetMode="External"/></Relationships>
</file>

<file path=word/charts/_rels/chartEx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NULL"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V_PIBreal_PC!$B$4:$B$91</cx:f>
        <cx:lvl ptCount="88" formatCode="Geral">
          <cx:pt idx="0">0.56542831997242948</cx:pt>
          <cx:pt idx="1">0.088207858784522752</cx:pt>
          <cx:pt idx="2">0.11081306137519564</cx:pt>
          <cx:pt idx="3">0.210787693759237</cx:pt>
          <cx:pt idx="4">-0.20585592277389664</cx:pt>
          <cx:pt idx="5">0.20942417774097533</cx:pt>
          <cx:pt idx="6">0.010627817635279424</cx:pt>
          <cx:pt idx="7">0.41658129581812497</cx:pt>
          <cx:pt idx="8">-0.027709162173899515</cx:pt>
          <cx:pt idx="9">0.02331061022719183</cx:pt>
          <cx:pt idx="10">0.044894173152846495</cx:pt>
          <cx:pt idx="11">0.06080747892362881</cx:pt>
          <cx:pt idx="12">0.025168866318005412</cx:pt>
          <cx:pt idx="13">0.070914094397005911</cx:pt>
          <cx:pt idx="14">0.059945138901886352</cx:pt>
          <cx:pt idx="15">0.11061430653087112</cx:pt>
          <cx:pt idx="16">-0.0087305539696606038</cx:pt>
          <cx:pt idx="17">-0.011490754998078612</cx:pt>
          <cx:pt idx="18">-0.039120822108502096</cx:pt>
          <cx:pt idx="19">0.031629952155137975</cx:pt>
          <cx:pt idx="20">-0.034375817757275717</cx:pt>
          <cx:pt idx="21">0.0060732665188276691</cx:pt>
          <cx:pt idx="22">0.40218863402528826</cx:pt>
          <cx:pt idx="23">0.070193409890215941</cx:pt>
          <cx:pt idx="24">0.015622430971576451</cx:pt>
          <cx:pt idx="25">0.046280790404746863</cx:pt>
          <cx:pt idx="26">-0.076513269968696007</cx:pt>
          <cx:pt idx="27">0.10712463383848303</cx:pt>
          <cx:pt idx="28">0.048560487869383495</cx:pt>
          <cx:pt idx="29">0.34578361227395482</cx:pt>
          <cx:pt idx="30">0.059460243624621656</cx:pt>
          <cx:pt idx="31">0.0043175660483594225</cx:pt>
          <cx:pt idx="32">-0.022522266770344634</cx:pt>
          <cx:pt idx="33">0.083356722740163036</cx:pt>
          <cx:pt idx="34">0.13036592096192368</cx:pt>
          <cx:pt idx="35">0.052898278752112393</cx:pt>
          <cx:pt idx="36">0.065377537059711832</cx:pt>
          <cx:pt idx="37">0.07157073138234793</cx:pt>
          <cx:pt idx="38">0.053189985416951302</cx:pt>
          <cx:pt idx="39">0.067803411174356398</cx:pt>
          <cx:pt idx="40">-0.015114699700897738</cx:pt>
          <cx:pt idx="41">0.01096203904481885</cx:pt>
          <cx:pt idx="42">-0.06183160739721183</cx:pt>
          <cx:pt idx="43">-0.0280097136765175</cx:pt>
          <cx:pt idx="44">0.46104694024310966</cx:pt>
          <cx:pt idx="45">0.076899135199096191</cx:pt>
          <cx:pt idx="46">0.041859396508188151</cx:pt>
          <cx:pt idx="47">0.047392756076511278</cx:pt>
          <cx:pt idx="48">-0.019523583287908819</cx:pt>
          <cx:pt idx="49">0.0028450972951654663</cx:pt>
          <cx:pt idx="50">0.057116077864474368</cx:pt>
          <cx:pt idx="51">0.048906748736846639</cx:pt>
          <cx:pt idx="52">0.19947466606721354</cx:pt>
          <cx:pt idx="53">-0.032916640869529279</cx:pt>
          <cx:pt idx="54">-0.05386307038563154</cx:pt>
          <cx:pt idx="55">0.073900414467411357</cx:pt>
          <cx:pt idx="56">0.095578032457272144</cx:pt>
          <cx:pt idx="57">0.10235784624929467</cx:pt>
          <cx:pt idx="58">0.035142286429690861</cx:pt>
          <cx:pt idx="59">0.088625539802088316</cx:pt>
          <cx:pt idx="60">0.082505240544331393</cx:pt>
          <cx:pt idx="61">0.051054457080033755</cx:pt>
          <cx:pt idx="62">0.020196121703838887</cx:pt>
          <cx:pt idx="63">0.058892110026671274</cx:pt>
          <cx:pt idx="64">-0.060468399032861497</cx:pt>
          <cx:pt idx="65">0.028221771234342441</cx:pt>
          <cx:pt idx="66">0.33768115159980661</cx:pt>
          <cx:pt idx="67">0.15272172177482335</cx:pt>
          <cx:pt idx="68">0.070090223365426363</cx:pt>
          <cx:pt idx="69">0.043923776612576182</cx:pt>
          <cx:pt idx="70">0.064758393745628196</cx:pt>
          <cx:pt idx="71">0.028059492973479871</cx:pt>
          <cx:pt idx="72">-0.023184692595077938</cx:pt>
          <cx:pt idx="73">0.15996894688716967</cx:pt>
          <cx:pt idx="74">0.25040932497722901</cx:pt>
          <cx:pt idx="75">0.12096436330772531</cx:pt>
          <cx:pt idx="76">-0.04796640199736113</cx:pt>
          <cx:pt idx="77">-0.14746418458298549</cx:pt>
          <cx:pt idx="78">0.18679611885410718</cx:pt>
          <cx:pt idx="79">0.17916289262641483</cx:pt>
          <cx:pt idx="80">0.011648079496262342</cx:pt>
          <cx:pt idx="81">0.0030573982660611065</cx:pt>
          <cx:pt idx="82">0.13195418693192185</cx:pt>
          <cx:pt idx="83">0.074688572121924368</cx:pt>
          <cx:pt idx="84">0.035156337545225291</cx:pt>
          <cx:pt idx="85">0.052449432300980092</cx:pt>
          <cx:pt idx="86">-0.053319954808221937</cx:pt>
          <cx:pt idx="87">0.071481910694459527</cx:pt>
        </cx:lvl>
      </cx:numDim>
    </cx:data>
    <cx:data id="1">
      <cx:numDim type="val">
        <cx:f>V_PIBreal_PC!$C$4:$C$201</cx:f>
        <cx:lvl ptCount="198" formatCode="Geral">
          <cx:pt idx="0">0.36133256303542804</cx:pt>
          <cx:pt idx="1">0.16956151991444157</cx:pt>
          <cx:pt idx="2">0.066413748506958026</cx:pt>
          <cx:pt idx="3">0.039734879208673579</cx:pt>
          <cx:pt idx="4">-0.047889310917104577</cx:pt>
          <cx:pt idx="5">-0.0079649671851466097</cx:pt>
          <cx:pt idx="6">-0.012151075981879589</cx:pt>
          <cx:pt idx="7">0.33997067775644441</cx:pt>
          <cx:pt idx="8">-0.0092126539628559767</cx:pt>
          <cx:pt idx="9">0.012038497626029487</cx:pt>
          <cx:pt idx="10">0.031046811598131274</cx:pt>
          <cx:pt idx="11">0.076802069617964985</cx:pt>
          <cx:pt idx="12">0.098442206917773278</cx:pt>
          <cx:pt idx="13">0.027285430253756404</cx:pt>
          <cx:pt idx="14">0.031929978920586466</cx:pt>
          <cx:pt idx="15">0.07150982501475367</cx:pt>
          <cx:pt idx="16">0.087522796965702199</cx:pt>
          <cx:pt idx="17">0.026949201340392914</cx:pt>
          <cx:pt idx="18">-0.02577587684757543</cx:pt>
          <cx:pt idx="19">0.026393885631301295</cx:pt>
          <cx:pt idx="20">0.01659266280970062</cx:pt>
          <cx:pt idx="21">-0.0018646813200104972</cx:pt>
          <cx:pt idx="22">0.43961222083697638</cx:pt>
          <cx:pt idx="23">0.13414303519770643</cx:pt>
          <cx:pt idx="24">0.052383298813934553</cx:pt>
          <cx:pt idx="25">0.018564926487392386</cx:pt>
          <cx:pt idx="26">-0.015218626285073311</cx:pt>
          <cx:pt idx="27">0.070106619366301803</cx:pt>
          <cx:pt idx="28">0.00080897151744552254</cx:pt>
          <cx:pt idx="29">-0.007401258936458821</cx:pt>
          <cx:pt idx="30">0.035708005838721579</cx:pt>
          <cx:pt idx="31">0.058782838150099215</cx:pt>
          <cx:pt idx="32">0.061613212242241255</cx:pt>
          <cx:pt idx="33">0.036905154361023706</cx:pt>
          <cx:pt idx="34">0.087532952213574822</cx:pt>
          <cx:pt idx="35">0.020252165341295925</cx:pt>
          <cx:pt idx="36">0.076894207825415783</cx:pt>
          <cx:pt idx="37">0.1037821449210472</cx:pt>
          <cx:pt idx="38">0.0072233737991544977</cx:pt>
          <cx:pt idx="39">0.029718853999677552</cx:pt>
          <cx:pt idx="40">-0.0018062201969726299</cx:pt>
          <cx:pt idx="41">0.021759767273660691</cx:pt>
          <cx:pt idx="42">-0.016248455644122806</cx:pt>
          <cx:pt idx="43">-0.011682987470889805</cx:pt>
          <cx:pt idx="44">0.53161949374120887</cx:pt>
          <cx:pt idx="45">0.12657535099641626</cx:pt>
          <cx:pt idx="46">0.051566657100294844</cx:pt>
          <cx:pt idx="47">0.03946165162705273</cx:pt>
          <cx:pt idx="48">-0.061633246813406983</cx:pt>
          <cx:pt idx="49">-0.036343685676223147</cx:pt>
          <cx:pt idx="50">-0.05285471198087488</cx:pt>
          <cx:pt idx="51">0.16604237688127044</cx:pt>
          <cx:pt idx="52">0.027391273917735992</cx:pt>
          <cx:pt idx="53">0.020201762126123235</cx:pt>
          <cx:pt idx="54">0.037387706949481458</cx:pt>
          <cx:pt idx="55">0.082007760254521944</cx:pt>
          <cx:pt idx="56">0.050295864915026467</cx:pt>
          <cx:pt idx="57">0.087346133433384265</cx:pt>
          <cx:pt idx="58">0.054183753028634873</cx:pt>
          <cx:pt idx="59">0.12731968299410656</cx:pt>
          <cx:pt idx="60">0.05186297755464242</cx:pt>
          <cx:pt idx="61">0.012495779775751226</cx:pt>
          <cx:pt idx="62">0.040772179481795678</cx:pt>
          <cx:pt idx="63">0.078570956664845593</cx:pt>
          <cx:pt idx="64">-0.070125804368346145</cx:pt>
          <cx:pt idx="65">-0.009932236826115437</cx:pt>
          <cx:pt idx="66">0.42610690975004295</cx:pt>
          <cx:pt idx="67">0.24105412903661994</cx:pt>
          <cx:pt idx="68">0.010531051233641175</cx:pt>
          <cx:pt idx="69">-0.052060663383294181</cx:pt>
          <cx:pt idx="70">-0.0052042885721667043</cx:pt>
          <cx:pt idx="71">0.05349500631085613</cx:pt>
          <cx:pt idx="72">0.022454280724234943</cx:pt>
          <cx:pt idx="73">0.35755429322329579</cx:pt>
          <cx:pt idx="74">0.10709696328731466</cx:pt>
          <cx:pt idx="75">0.028535166643091081</cx:pt>
          <cx:pt idx="76">0.059080674523887433</cx:pt>
          <cx:pt idx="77">0.13237786145022223</cx:pt>
          <cx:pt idx="78">0.00080535735249931406</cx:pt>
          <cx:pt idx="79">0.13106170962369657</cx:pt>
          <cx:pt idx="80">0.026032538612906997</cx:pt>
          <cx:pt idx="81">0.032941794355113796</cx:pt>
          <cx:pt idx="82">0.045930805018133736</cx:pt>
          <cx:pt idx="83">0.084882982899147974</cx:pt>
          <cx:pt idx="84">0.04421115030025291</cx:pt>
          <cx:pt idx="85">0.057960052081447389</cx:pt>
          <cx:pt idx="86">-0.084355508661201228</cx:pt>
          <cx:pt idx="87">0.015165596711951945</cx:pt>
          <cx:pt idx="88">0.51889243193215062</cx:pt>
          <cx:pt idx="89">0.13436950097201206</cx:pt>
          <cx:pt idx="90">0.0062871256117540408</cx:pt>
          <cx:pt idx="91">0.015388859993874959</cx:pt>
          <cx:pt idx="92">-0.0032940944934887195</cx:pt>
          <cx:pt idx="93">0.077961245388753486</cx:pt>
          <cx:pt idx="94">0.024000198984333476</cx:pt>
          <cx:pt idx="95">0.094477576981114364</cx:pt>
          <cx:pt idx="96">0.050678574081041372</cx:pt>
          <cx:pt idx="97">-0.020167428074411298</cx:pt>
          <cx:pt idx="98">0.046141097601905434</cx:pt>
          <cx:pt idx="99">0.14203329424712163</cx:pt>
          <cx:pt idx="100">0.047251926257537269</cx:pt>
          <cx:pt idx="101">0.078323180451859375</cx:pt>
          <cx:pt idx="102">0.069947991700497925</cx:pt>
          <cx:pt idx="103">0.047992609100479866</cx:pt>
          <cx:pt idx="104">0.032601164443120778</cx:pt>
          <cx:pt idx="105">0.075030542326260719</cx:pt>
          <cx:pt idx="106">0.0044823326246055117</cx:pt>
          <cx:pt idx="107">0.064684176489178347</cx:pt>
          <cx:pt idx="108">-0.048556353419380027</cx:pt>
          <cx:pt idx="109">-0.016509491235699891</cx:pt>
          <cx:pt idx="110">0.56241996992761267</cx:pt>
          <cx:pt idx="111">0.12511898617805217</cx:pt>
          <cx:pt idx="112">0.031905116232257447</cx:pt>
          <cx:pt idx="113">0.033368439863129096</cx:pt>
          <cx:pt idx="114">-0.044495918673260082</cx:pt>
          <cx:pt idx="115">0.012028198708752269</cx:pt>
          <cx:pt idx="116">-0.00058157470541353451</cx:pt>
          <cx:pt idx="117">0.00041593835531683609</cx:pt>
          <cx:pt idx="118">-0.024377490894851639</cx:pt>
          <cx:pt idx="119">0.056058316258483121</cx:pt>
          <cx:pt idx="120">0.045495778138272547</cx:pt>
          <cx:pt idx="121">0.059550178239111906</cx:pt>
          <cx:pt idx="122">0.079840008848393262</cx:pt>
          <cx:pt idx="123">0.034196080181977617</cx:pt>
          <cx:pt idx="124">0.076547793821284849</cx:pt>
          <cx:pt idx="125">0.1523376377084622</cx:pt>
          <cx:pt idx="126">0.056037855833393158</cx:pt>
          <cx:pt idx="127">0.089610648309532692</cx:pt>
          <cx:pt idx="128">0.0099021456632435445</cx:pt>
          <cx:pt idx="129">0.025243638514771849</cx:pt>
          <cx:pt idx="130">-0.09242946276892805</cx:pt>
          <cx:pt idx="131">-0.0042078689856512863</cx:pt>
          <cx:pt idx="132">0.58910806319069531</cx:pt>
          <cx:pt idx="133">0.1416816282230573</cx:pt>
          <cx:pt idx="134">0.020402417858645494</cx:pt>
          <cx:pt idx="135">0.020171052291547475</cx:pt>
          <cx:pt idx="136">-0.022122942845357763</cx:pt>
          <cx:pt idx="137">0.022345027260619155</cx:pt>
          <cx:pt idx="138">-0.039307390904096073</cx:pt>
          <cx:pt idx="139">0.12553538359148586</cx:pt>
          <cx:pt idx="140">0.071473409564973611</cx:pt>
          <cx:pt idx="141">0.020203783215821502</cx:pt>
          <cx:pt idx="142">0.066858160152066581</cx:pt>
          <cx:pt idx="143">0.19756257754086226</cx:pt>
          <cx:pt idx="144">-0.014505033600874739</cx:pt>
          <cx:pt idx="145">0.082708467339187797</cx:pt>
          <cx:pt idx="146">0.11182737968075296</cx:pt>
          <cx:pt idx="147">0.11939529151295769</cx:pt>
          <cx:pt idx="148">0.086118264378294285</cx:pt>
          <cx:pt idx="149">0.036301668503609275</cx:pt>
          <cx:pt idx="150">0.023842434002239399</cx:pt>
          <cx:pt idx="151">0.12950033858749377</cx:pt>
          <cx:pt idx="152">-0.06500180558629598</cx:pt>
          <cx:pt idx="153">-0.0074662049312070877</cx:pt>
          <cx:pt idx="154">0.45549688700270163</cx:pt>
          <cx:pt idx="155">0.14498463438801856</cx:pt>
          <cx:pt idx="156">0.063807747262300651</cx:pt>
          <cx:pt idx="157">-0.0019944927097808041</cx:pt>
          <cx:pt idx="158">0.014041992537763726</cx:pt>
          <cx:pt idx="159">0.098236106110708654</cx:pt>
          <cx:pt idx="160">-0.032524174294097263</cx:pt>
          <cx:pt idx="161">0.20987513336296293</cx:pt>
          <cx:pt idx="162">-0.0097586426458716735</cx:pt>
          <cx:pt idx="163">0.051638795199654863</cx:pt>
          <cx:pt idx="164">0.08009925014094077</cx:pt>
          <cx:pt idx="165">0.096632471573833811</cx:pt>
          <cx:pt idx="166">0.11166349682459864</cx:pt>
          <cx:pt idx="167">0.0059115828954969807</cx:pt>
          <cx:pt idx="168">0.01623597653472153</cx:pt>
          <cx:pt idx="169">0.093594834264219218</cx:pt>
          <cx:pt idx="170">0.053523494840084229</cx:pt>
          <cx:pt idx="171">0.059953392582896337</cx:pt>
          <cx:pt idx="172">0.0027927924845945196</cx:pt>
          <cx:pt idx="173">-0.024526182594841517</cx:pt>
          <cx:pt idx="174">-0.051807430917920061</cx:pt>
          <cx:pt idx="175">-0.028815931177786913</cx:pt>
          <cx:pt idx="176">0.38991761664693381</cx:pt>
          <cx:pt idx="177">0.099077789574811392</cx:pt>
          <cx:pt idx="178">0.047977279514604065</cx:pt>
          <cx:pt idx="179">0.0050445859905496881</cx:pt>
          <cx:pt idx="180">-0.024479468007716942</cx:pt>
          <cx:pt idx="181">-0.011700378143915779</cx:pt>
          <cx:pt idx="182">0.26169461810043715</cx:pt>
          <cx:pt idx="183">0.1017807534058115</cx:pt>
          <cx:pt idx="184">0.024528394939661302</cx:pt>
          <cx:pt idx="185">0.022169649114466505</cx:pt>
          <cx:pt idx="186">0.0065063136786340792</cx:pt>
          <cx:pt idx="187">0.085058483441164512</cx:pt>
          <cx:pt idx="188">0.095772334047671936</cx:pt>
          <cx:pt idx="189">0.076830139832719357</cx:pt>
          <cx:pt idx="190">-0.038172989866854357</cx:pt>
          <cx:pt idx="191">0.12169916715674201</cx:pt>
          <cx:pt idx="192">0.024269305289389642</cx:pt>
          <cx:pt idx="193">0.05575887151134129</cx:pt>
          <cx:pt idx="194">-0.023672760424996886</cx:pt>
          <cx:pt idx="195">-0.014132850450598311</cx:pt>
          <cx:pt idx="196">-0.079980922337313909</cx:pt>
          <cx:pt idx="197">-0.061146108174450098</cx:pt>
        </cx:lvl>
      </cx:numDim>
    </cx:data>
    <cx:data id="2">
      <cx:numDim type="val">
        <cx:f>V_PIBreal_PC!$D$4:$D$157</cx:f>
        <cx:lvl ptCount="154" formatCode="Geral">
          <cx:pt idx="0">0.45391109477549829</cx:pt>
          <cx:pt idx="1">-0.0091146572989413421</cx:pt>
          <cx:pt idx="2">0.051776752824826966</cx:pt>
          <cx:pt idx="3">0.059103803550994982</cx:pt>
          <cx:pt idx="4">-0.042446263467065481</cx:pt>
          <cx:pt idx="5">-0.022483952063317214</cx:pt>
          <cx:pt idx="6">0.016481988572748296</cx:pt>
          <cx:pt idx="7">0.34520131611007709</cx:pt>
          <cx:pt idx="8">0.01626219702335141</cx:pt>
          <cx:pt idx="9">-0.0078093855523491129</cx:pt>
          <cx:pt idx="10">0.012063985927901033</cx:pt>
          <cx:pt idx="11">0.025086630552481948</cx:pt>
          <cx:pt idx="12">0.17433728884702115</cx:pt>
          <cx:pt idx="13">0.06871180724900694</cx:pt>
          <cx:pt idx="14">0.090129801545478339</cx:pt>
          <cx:pt idx="15">0.0018265834737785092</cx:pt>
          <cx:pt idx="16">-0.010045693713435666</cx:pt>
          <cx:pt idx="17">0.052818758101779384</cx:pt>
          <cx:pt idx="18">0.044291912936761824</cx:pt>
          <cx:pt idx="19">0.083320265352876399</cx:pt>
          <cx:pt idx="20">-0.10068608579631255</cx:pt>
          <cx:pt idx="21">-0.065617077325617945</cx:pt>
          <cx:pt idx="22">0.49443627752416885</cx:pt>
          <cx:pt idx="23">0.13598540179226593</cx:pt>
          <cx:pt idx="24">-0.056218128358349606</cx:pt>
          <cx:pt idx="25">0.0066725803883622703</cx:pt>
          <cx:pt idx="26">-0.076889950038994348</cx:pt>
          <cx:pt idx="27">0.050399056997610936</cx:pt>
          <cx:pt idx="28">-0.010244763665046341</cx:pt>
          <cx:pt idx="29">-0.072862245482589683</cx:pt>
          <cx:pt idx="30">0.046504303280064052</cx:pt>
          <cx:pt idx="31">0.078942053034505966</cx:pt>
          <cx:pt idx="32">0.0041789813002803822</cx:pt>
          <cx:pt idx="33">0.11229315426463771</cx:pt>
          <cx:pt idx="34">0.071169032695114876</cx:pt>
          <cx:pt idx="35">0.0076665371250770331</cx:pt>
          <cx:pt idx="36">-0.0081457459991390868</cx:pt>
          <cx:pt idx="37">0.10731619056648589</cx:pt>
          <cx:pt idx="38">0.074197729343878471</cx:pt>
          <cx:pt idx="39">-0.04915228665864213</cx:pt>
          <cx:pt idx="40">0.023618208456871237</cx:pt>
          <cx:pt idx="41">-0.035946976219944582</cx:pt>
          <cx:pt idx="42">-0.1122870529608323</cx:pt>
          <cx:pt idx="43">-0.047855021227782957</cx:pt>
          <cx:pt idx="44">0.57328565009447141</cx:pt>
          <cx:pt idx="45">-0.14912831587675146</cx:pt>
          <cx:pt idx="46">0.022193061013212168</cx:pt>
          <cx:pt idx="47">-0.076009758744402967</cx:pt>
          <cx:pt idx="48">-0.073127011871795267</cx:pt>
          <cx:pt idx="49">0.083730488796061486</cx:pt>
          <cx:pt idx="50">0.014258506384243308</cx:pt>
          <cx:pt idx="51">0.20856146373127205</cx:pt>
          <cx:pt idx="52">-0.049654105086921141</cx:pt>
          <cx:pt idx="53">0.017526107760386544</cx:pt>
          <cx:pt idx="54">-0.019218736862866015</cx:pt>
          <cx:pt idx="55">0.14812269098553998</cx:pt>
          <cx:pt idx="56">0.14268500385892025</cx:pt>
          <cx:pt idx="57">0.045530757529342658</cx:pt>
          <cx:pt idx="58">0.011015543169335729</cx:pt>
          <cx:pt idx="59">-0.028173444830600691</cx:pt>
          <cx:pt idx="60">0.049288494646003045</cx:pt>
          <cx:pt idx="61">0.094846899942392593</cx:pt>
          <cx:pt idx="62">0.029071067783181803</cx:pt>
          <cx:pt idx="63">-0.034241618233637805</cx:pt>
          <cx:pt idx="64">-0.084573570458345348</cx:pt>
          <cx:pt idx="65">-0.046174305788796888</cx:pt>
          <cx:pt idx="66">0.16573110700540816</cx:pt>
          <cx:pt idx="67">0.03492298307292141</cx:pt>
          <cx:pt idx="68">-0.015567097051530254</cx:pt>
          <cx:pt idx="69">0.019646222038203875</cx:pt>
          <cx:pt idx="70">-0.036805159511711705</cx:pt>
          <cx:pt idx="71">0.01796180380526069</cx:pt>
          <cx:pt idx="72">0.042282573032542903</cx:pt>
          <cx:pt idx="73">0.063323159379923721</cx:pt>
          <cx:pt idx="74">0.026482023989151893</cx:pt>
          <cx:pt idx="75">0.098397579234896115</cx:pt>
          <cx:pt idx="76">0.010907291157031596</cx:pt>
          <cx:pt idx="77">0.07853658833317323</cx:pt>
          <cx:pt idx="78">0.086263956656718266</cx:pt>
          <cx:pt idx="79">0.071374825819359833</cx:pt>
          <cx:pt idx="80">-0.044491873783319646</cx:pt>
          <cx:pt idx="81">0.24100122451248618</cx:pt>
          <cx:pt idx="82">0.10524728874711475</cx:pt>
          <cx:pt idx="83">0.007444567623858811</cx:pt>
          <cx:pt idx="84">0.045186656443219952</cx:pt>
          <cx:pt idx="85">-0.043043009949168987</cx:pt>
          <cx:pt idx="86">-0.062391491966141133</cx:pt>
          <cx:pt idx="87">-0.01934533703838226</cx:pt>
          <cx:pt idx="88">0.52943614391250482</cx:pt>
          <cx:pt idx="89">0.22299927125828778</cx:pt>
          <cx:pt idx="90">0.073344559346571137</cx:pt>
          <cx:pt idx="91">0.063055799857814065</cx:pt>
          <cx:pt idx="92">-0.015963642156918367</cx:pt>
          <cx:pt idx="93">-0.0054350821587713094</cx:pt>
          <cx:pt idx="94">-0.017133938398624871</cx:pt>
          <cx:pt idx="95">0.072751226929164581</cx:pt>
          <cx:pt idx="96">0.13558227388733513</cx:pt>
          <cx:pt idx="97">0.011376341232487874</cx:pt>
          <cx:pt idx="98">0.095027630495541526</cx:pt>
          <cx:pt idx="99">-0.0064039864187874773</cx:pt>
          <cx:pt idx="100">0.13793163494023952</cx:pt>
          <cx:pt idx="101">0.10033417350341578</cx:pt>
          <cx:pt idx="102">0.086422582959225336</cx:pt>
          <cx:pt idx="103">0.10160194324813365</cx:pt>
          <cx:pt idx="104">0.07329647817747742</cx:pt>
          <cx:pt idx="105">0.02300169299568755</cx:pt>
          <cx:pt idx="106">-0.10221540305358345</cx:pt>
          <cx:pt idx="107">0.015704186586809055</cx:pt>
          <cx:pt idx="108">-0.040001690863017747</cx:pt>
          <cx:pt idx="109">0.0043001340698298751</cx:pt>
          <cx:pt idx="110">0.54435834226824587</cx:pt>
          <cx:pt idx="111">0.12798912938486673</cx:pt>
          <cx:pt idx="112">0.048636805136431649</cx:pt>
          <cx:pt idx="113">0.15350889855567473</cx:pt>
          <cx:pt idx="114">-0.018387151227276299</cx:pt>
          <cx:pt idx="115">0.061694916009605194</cx:pt>
          <cx:pt idx="116">-0.025430348021511007</cx:pt>
          <cx:pt idx="117">0.69537937421638629</cx:pt>
          <cx:pt idx="118">-0.036777208684758755</cx:pt>
          <cx:pt idx="119">-0.053828027204043671</cx:pt>
          <cx:pt idx="120">0.044647192639059474</cx:pt>
          <cx:pt idx="121">0.12002031178041483</cx:pt>
          <cx:pt idx="122">0.078620526458581752</cx:pt>
          <cx:pt idx="123">0.042764865810191788</cx:pt>
          <cx:pt idx="124">0.099801403434588654</cx:pt>
          <cx:pt idx="125">0.034114537955905577</cx:pt>
          <cx:pt idx="126">0.011181806669551708</cx:pt>
          <cx:pt idx="127">-0.022302147835682073</cx:pt>
          <cx:pt idx="128">0.061345715713543525</cx:pt>
          <cx:pt idx="129">-0.0018534943621635325</cx:pt>
          <cx:pt idx="130">-0.066581946809381898</cx:pt>
          <cx:pt idx="131">-0.0054109489614333484</cx:pt>
          <cx:pt idx="132">0.48636533763466083</cx:pt>
          <cx:pt idx="133">0.096448353786900309</cx:pt>
          <cx:pt idx="134">0.034358017046841161</cx:pt>
          <cx:pt idx="135">0.083113530555383841</cx:pt>
          <cx:pt idx="136">-0.027966255108382354</cx:pt>
          <cx:pt idx="137">0.07220233195074699</cx:pt>
          <cx:pt idx="138">0.13982554943259373</cx:pt>
          <cx:pt idx="139">0.51417379655269713</cx:pt>
          <cx:pt idx="140">0.11520678677501484</cx:pt>
          <cx:pt idx="141">-0.0069859665163100049</cx:pt>
          <cx:pt idx="142">-0.027545387477771133</cx:pt>
          <cx:pt idx="143">0.06700035678322136</cx:pt>
          <cx:pt idx="144">0.2078558005885367</cx:pt>
          <cx:pt idx="145">0.090126764335179965</cx:pt>
          <cx:pt idx="146">0.073483569320038411</cx:pt>
          <cx:pt idx="147">0.056720883254933296</cx:pt>
          <cx:pt idx="148">0.036947082706815682</cx:pt>
          <cx:pt idx="149">0.05265885550288929</cx:pt>
          <cx:pt idx="150">0.041819530131650851</cx:pt>
          <cx:pt idx="151">0.021343526503752486</cx:pt>
          <cx:pt idx="152">-0.013890880854900867</cx:pt>
          <cx:pt idx="153">0.014967572843485932</cx:pt>
        </cx:lvl>
      </cx:numDim>
    </cx:data>
    <cx:data id="3">
      <cx:numDim type="val">
        <cx:f>V_PIBreal_PC!$E$4:$E$91</cx:f>
        <cx:lvl ptCount="88" formatCode="Geral">
          <cx:pt idx="0">0.62342839190514177</cx:pt>
          <cx:pt idx="1">0.05225171989109656</cx:pt>
          <cx:pt idx="2">0.014299973885680162</cx:pt>
          <cx:pt idx="3">0.039367737405623826</cx:pt>
          <cx:pt idx="4">-0.022274182004262122</cx:pt>
          <cx:pt idx="5">0.027588482527542535</cx:pt>
          <cx:pt idx="6">-0.046471769740582425</cx:pt>
          <cx:pt idx="7">0.050950029321428225</cx:pt>
          <cx:pt idx="8">0.050198818004082435</cx:pt>
          <cx:pt idx="9">0.13597503190113946</cx:pt>
          <cx:pt idx="10">0.10121203462688655</cx:pt>
          <cx:pt idx="11">0.084604245284673585</cx:pt>
          <cx:pt idx="12">0.12264575658381238</cx:pt>
          <cx:pt idx="13">0.089098113635022846</cx:pt>
          <cx:pt idx="14">-0.088432129951047989</cx:pt>
          <cx:pt idx="15">0.1545816360718093</cx:pt>
          <cx:pt idx="16">0.15583339909929217</cx:pt>
          <cx:pt idx="17">0.032756245045303167</cx:pt>
          <cx:pt idx="18">-0.11687672084481793</cx:pt>
          <cx:pt idx="19">0.019879922299387287</cx:pt>
          <cx:pt idx="20">-0.16513822566293634</cx:pt>
          <cx:pt idx="21">-0.15563705240537928</cx:pt>
          <cx:pt idx="22">0.46439115020420174</cx:pt>
          <cx:pt idx="23">0.12786109678282553</cx:pt>
          <cx:pt idx="24">0.039740088510220151</cx:pt>
          <cx:pt idx="25">-0.001937006809383246</cx:pt>
          <cx:pt idx="26">-0.049260493844217601</cx:pt>
          <cx:pt idx="27">0.034519218030571341</cx:pt>
          <cx:pt idx="28">-0.021155819214217941</cx:pt>
          <cx:pt idx="29">-0.040296902448152205</cx:pt>
          <cx:pt idx="30">0.051237528531217658</cx:pt>
          <cx:pt idx="31">0.082109486041171964</cx:pt>
          <cx:pt idx="32">0.023831007848497121</cx:pt>
          <cx:pt idx="33">0.080999205009868014</cx:pt>
          <cx:pt idx="34">0.093559183246528121</cx:pt>
          <cx:pt idx="35">0.062749480850125883</cx:pt>
          <cx:pt idx="36">-0.019993643620724311</cx:pt>
          <cx:pt idx="37">0.17906755136968933</cx:pt>
          <cx:pt idx="38">0.062846844607024721</cx:pt>
          <cx:pt idx="39">0.037724344022564082</cx:pt>
          <cx:pt idx="40">0.004463966942112485</cx:pt>
          <cx:pt idx="41">-0.011836823726680157</cx:pt>
          <cx:pt idx="42">-0.097595926296270674</cx:pt>
          <cx:pt idx="43">-0.019356799492578181</cx:pt>
          <cx:pt idx="44">0.52150651403152737</cx:pt>
          <cx:pt idx="45">0.055398687269628821</cx:pt>
          <cx:pt idx="46">0.058139300768203839</cx:pt>
          <cx:pt idx="47">0.0043906627409775467</cx:pt>
          <cx:pt idx="48">0.033984175333040323</cx:pt>
          <cx:pt idx="49">0.092774851888812071</cx:pt>
          <cx:pt idx="50">-0.015963339462315096</cx:pt>
          <cx:pt idx="51">0.093957031211799436</cx:pt>
          <cx:pt idx="52">-0.0045573537960671429</cx:pt>
          <cx:pt idx="53">0.082626867480527277</cx:pt>
          <cx:pt idx="54">0.046088347207647207</cx:pt>
          <cx:pt idx="55">0.064665451109560124</cx:pt>
          <cx:pt idx="56">0.04332761774788052</cx:pt>
          <cx:pt idx="57">0.072076763513563513</cx:pt>
          <cx:pt idx="58">-0.016023301367638743</cx:pt>
          <cx:pt idx="59">0.085928697457895886</cx:pt>
          <cx:pt idx="60">0.062088767450853455</cx:pt>
          <cx:pt idx="61">0.051547129438980654</cx:pt>
          <cx:pt idx="62">0.023112460176154759</cx:pt>
          <cx:pt idx="63">-0.0017247648251170755</cx:pt>
          <cx:pt idx="64">-0.11727570073186344</cx:pt>
          <cx:pt idx="65">-0.090935539399711995</cx:pt>
          <cx:pt idx="66">0.54714575280132327</cx:pt>
          <cx:pt idx="67">0.069969864136990134</cx:pt>
          <cx:pt idx="68">0.05945320674785437</cx:pt>
          <cx:pt idx="69">0.016756939869649434</cx:pt>
          <cx:pt idx="70">-0.050718347383472584</cx:pt>
          <cx:pt idx="71">-0.0037584375130468306</cx:pt>
          <cx:pt idx="72">-0.014220499159273259</cx:pt>
          <cx:pt idx="73">0.13443416187508306</cx:pt>
          <cx:pt idx="74">0.028555080846466074</cx:pt>
          <cx:pt idx="75">-0.0027370538861881677</cx:pt>
          <cx:pt idx="76">0.060270451384065948</cx:pt>
          <cx:pt idx="77">0.059805107039124561</cx:pt>
          <cx:pt idx="78">0.11984658485336563</cx:pt>
          <cx:pt idx="79">0.021727218872242826</cx:pt>
          <cx:pt idx="80">0.027120025473748477</cx:pt>
          <cx:pt idx="81">0.087819014931825423</cx:pt>
          <cx:pt idx="82">0.03375979176869337</cx:pt>
          <cx:pt idx="83">0.01762170145951969</cx:pt>
          <cx:pt idx="84">-0.0031364294635223278</cx:pt>
          <cx:pt idx="85">0.0095181823959391565</cx:pt>
          <cx:pt idx="86">-0.064381361507104162</cx:pt>
          <cx:pt idx="87">-0.019382289884459003</cx:pt>
        </cx:lvl>
      </cx:numDim>
    </cx:data>
    <cx:data id="4">
      <cx:numDim type="val">
        <cx:f>V_PIBreal_PC!$F$4:$F$69</cx:f>
        <cx:lvl ptCount="66" formatCode="Geral">
          <cx:pt idx="0">0.46090813656325391</cx:pt>
          <cx:pt idx="1">0.098456671774060034</cx:pt>
          <cx:pt idx="2">0.036564636177151222</cx:pt>
          <cx:pt idx="3">0.043917198458940154</cx:pt>
          <cx:pt idx="4">-0.014880543422654435</cx:pt>
          <cx:pt idx="5">-0.010778540360357414</cx:pt>
          <cx:pt idx="6">0.010091588940809526</cx:pt>
          <cx:pt idx="7">0.066148369168200993</cx:pt>
          <cx:pt idx="8">0.12845195727082159</cx:pt>
          <cx:pt idx="9">0.019140071701402972</cx:pt>
          <cx:pt idx="10">-0.035112813660987841</cx:pt>
          <cx:pt idx="11">0.03435134294538944</cx:pt>
          <cx:pt idx="12">0.16049926600622788</cx:pt>
          <cx:pt idx="13">0.030656485722810434</cx:pt>
          <cx:pt idx="14">0.0062857130875908496</cx:pt>
          <cx:pt idx="15">0.10619805723899955</cx:pt>
          <cx:pt idx="16">0.065091347233431573</cx:pt>
          <cx:pt idx="17">0.043065142641187215</cx:pt>
          <cx:pt idx="18">0.060336026311819557</cx:pt>
          <cx:pt idx="19">-0.026519181994960617</cx:pt>
          <cx:pt idx="20">-0.028602731496494171</cx:pt>
          <cx:pt idx="21">-0.0046222588725359781</cx:pt>
          <cx:pt idx="22">0.39293869233820455</cx:pt>
          <cx:pt idx="23">0.06990835978492238</cx:pt>
          <cx:pt idx="24">0.026290026267349331</cx:pt>
          <cx:pt idx="25">-0.0081629313853176511</cx:pt>
          <cx:pt idx="26">-0.028524451757668379</cx:pt>
          <cx:pt idx="27">0.042829801008956725</cx:pt>
          <cx:pt idx="28">0.013583975038753637</cx:pt>
          <cx:pt idx="29">-0.075220493593331161</cx:pt>
          <cx:pt idx="30">0.093685325098727068</cx:pt>
          <cx:pt idx="31">0.0013093404127673125</cx:pt>
          <cx:pt idx="32">-0.027332607635493389</cx:pt>
          <cx:pt idx="33">0.038289536286331805</cx:pt>
          <cx:pt idx="34">0.12869659711919312</cx:pt>
          <cx:pt idx="35">0.042318052096195435</cx:pt>
          <cx:pt idx="36">0.02424152121887202</cx:pt>
          <cx:pt idx="37">0.13768513541453964</cx:pt>
          <cx:pt idx="38">0.027836836725958714</cx:pt>
          <cx:pt idx="39">0.021817132571887221</cx:pt>
          <cx:pt idx="40">0.052267945058054543</cx:pt>
          <cx:pt idx="41">0.0080656733307551409</cx:pt>
          <cx:pt idx="42">-0.038877707227653935</cx:pt>
          <cx:pt idx="43">0.0030488808766273578</cx:pt>
          <cx:pt idx="44">0.48538554341385098</cx:pt>
          <cx:pt idx="45">0.13137626915121658</cx:pt>
          <cx:pt idx="46">0.011228726887684504</cx:pt>
          <cx:pt idx="47">-0.012951101656721309</cx:pt>
          <cx:pt idx="48">-0.0040305172015446811</cx:pt>
          <cx:pt idx="49">0.06935465880749403</cx:pt>
          <cx:pt idx="50">8.7450441912162447e-05</cx:pt>
          <cx:pt idx="51">0.025553542562447351</cx:pt>
          <cx:pt idx="52">0.061132745743496253</cx:pt>
          <cx:pt idx="53">0.036549906118183761</cx:pt>
          <cx:pt idx="54">0.03158629248077971</cx:pt>
          <cx:pt idx="55">0.065994258674953121</cx:pt>
          <cx:pt idx="56">0.10756999817962698</cx:pt>
          <cx:pt idx="57">0.071793530646008685</cx:pt>
          <cx:pt idx="58">0.0077953431467951972</cx:pt>
          <cx:pt idx="59">0.10099495534717651</cx:pt>
          <cx:pt idx="60">0.051636984690772714</cx:pt>
          <cx:pt idx="61">0.030250829036459148</cx:pt>
          <cx:pt idx="62">0.016080288005800414</cx:pt>
          <cx:pt idx="63">0.047958839874712167</cx:pt>
          <cx:pt idx="64">-0.084649723285080469</cx:pt>
          <cx:pt idx="65">-0.043339655418492162</cx:pt>
        </cx:lvl>
      </cx:numDim>
    </cx:data>
  </cx:chartData>
  <cx:chart>
    <cx:plotArea>
      <cx:plotAreaRegion>
        <cx:series layoutId="boxWhisker" uniqueId="{AC8957EB-073C-DA48-8AA4-BC1C838B0048}">
          <cx:tx>
            <cx:txData>
              <cx:f>V_PIBreal_PC!$B$3</cx:f>
              <cx:v>Centro-Oeste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
            <cx:dataLabelHidden idx="2"/>
            <cx:dataLabelHidden idx="80"/>
            <cx:dataLabelHidden idx="81"/>
            <cx:dataLabelHidden idx="82"/>
            <cx:dataLabelHidden idx="84"/>
            <cx:dataLabelHidden idx="86"/>
            <cx:dataLabelHidden idx="87"/>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V_PIBreal_PC!$C$3</cx:f>
              <cx:v>Nordeste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83"/>
            <cx:dataLabelHidden idx="184"/>
            <cx:dataLabelHidden idx="185"/>
            <cx:dataLabelHidden idx="186"/>
            <cx:dataLabelHidden idx="187"/>
            <cx:dataLabelHidden idx="189"/>
            <cx:dataLabelHidden idx="190"/>
            <cx:dataLabelHidden idx="191"/>
            <cx:dataLabelHidden idx="193"/>
            <cx:dataLabelHidden idx="194"/>
            <cx:dataLabelHidden idx="196"/>
            <cx:dataLabelHidden idx="197"/>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V_PIBreal_PC!$D$3</cx:f>
              <cx:v>Norte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43"/>
            <cx:dataLabelHidden idx="144"/>
            <cx:dataLabelHidden idx="145"/>
            <cx:dataLabelHidden idx="146"/>
            <cx:dataLabelHidden idx="147"/>
            <cx:dataLabelHidden idx="149"/>
            <cx:dataLabelHidden idx="151"/>
            <cx:dataLabelHidden idx="152"/>
            <cx:dataLabelHidden idx="153"/>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V_PIBreal_PC!$E$3</cx:f>
              <cx:v>Sudeste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2"/>
            <cx:dataLabelHidden idx="83"/>
            <cx:dataLabelHidden idx="84"/>
            <cx:dataLabelHidden idx="85"/>
            <cx:dataLabelHidden idx="86"/>
            <cx:dataLabelHidden idx="87"/>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V_PIBreal_PC!$F$3</cx:f>
              <cx:v>Sul</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62"/>
            <cx:dataLabelHidden idx="63"/>
            <cx:dataLabelHidden idx="64"/>
            <cx:dataLabelHidden idx="65"/>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max="0.80000000000000004"/>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Indicador_1!$B$4:$B$91</cx:f>
        <cx:lvl ptCount="88" formatCode="Geral">
          <cx:pt idx="0">0.46344326565034405</cx:pt>
          <cx:pt idx="1">0.45558928747188948</cx:pt>
          <cx:pt idx="2">0.4582091417081629</cx:pt>
          <cx:pt idx="3">0.46018421462227421</cx:pt>
          <cx:pt idx="4">0.43195763116754488</cx:pt>
          <cx:pt idx="5">0.43923167733034479</cx:pt>
          <cx:pt idx="6">0.4242083709575169</cx:pt>
          <cx:pt idx="7">0.42261115993258691</cx:pt>
          <cx:pt idx="8">0.28679039375900733</cx:pt>
          <cx:pt idx="9">0.28781249269471876</cx:pt>
          <cx:pt idx="10">0.29361748987911584</cx:pt>
          <cx:pt idx="11">0.30859734230948777</cx:pt>
          <cx:pt idx="12">0.30451066673805283</cx:pt>
          <cx:pt idx="13">0.30708641784633767</cx:pt>
          <cx:pt idx="14">0.29750428198245427</cx:pt>
          <cx:pt idx="15">0.29015171264959588</cx:pt>
          <cx:pt idx="16">0.28232123760661132</cx:pt>
          <cx:pt idx="17">0.28609366753395293</cx:pt>
          <cx:pt idx="18">0.28406932675913571</cx:pt>
          <cx:pt idx="19">0.27832069575888235</cx:pt>
          <cx:pt idx="20">0.26966187142180992</cx:pt>
          <cx:pt idx="21">0.27486010136240463</cx:pt>
          <cx:pt idx="22">0.2460653782007774</cx:pt>
          <cx:pt idx="23">0.26059594326602836</cx:pt>
          <cx:pt idx="24">0.2512039837843878</cx:pt>
          <cx:pt idx="25">0.24603293951519484</cx:pt>
          <cx:pt idx="26">0.24997939274689449</cx:pt>
          <cx:pt idx="27">0.25320242682333122</cx:pt>
          <cx:pt idx="28">0.25698453972825763</cx:pt>
          <cx:pt idx="29">0.25630084022337851</cx:pt>
          <cx:pt idx="30">0.31173064761633801</cx:pt>
          <cx:pt idx="31">0.29558334987110879</cx:pt>
          <cx:pt idx="32">0.29516110537805401</cx:pt>
          <cx:pt idx="33">0.28859919982627613</cx:pt>
          <cx:pt idx="34">0.29628477929243108</cx:pt>
          <cx:pt idx="35">0.2880851010172184</cx:pt>
          <cx:pt idx="36">0.29238122929777016</cx:pt>
          <cx:pt idx="37">0.30793981653702723</cx:pt>
          <cx:pt idx="38">0.32457410136913839</cx:pt>
          <cx:pt idx="39">0.31816132233642219</cx:pt>
          <cx:pt idx="40">0.31273739799899236</cx:pt>
          <cx:pt idx="41">0.31190787547823429</cx:pt>
          <cx:pt idx="42">0.30886713352040546</cx:pt>
          <cx:pt idx="43">0.31047786490980217</cx:pt>
          <cx:pt idx="44">0.12446901578030053</cx:pt>
          <cx:pt idx="45">0.11472690314243175</cx:pt>
          <cx:pt idx="46">0.11420558468169167</cx:pt>
          <cx:pt idx="47">0.10956110656410575</cx:pt>
          <cx:pt idx="48">0.11708670111331021</cx:pt>
          <cx:pt idx="49">0.11604367414911267</cx:pt>
          <cx:pt idx="50">0.12985898127383164</cx:pt>
          <cx:pt idx="51">0.1275763036807743</cx:pt>
          <cx:pt idx="52">0.15949270563153506</cx:pt>
          <cx:pt idx="53">0.16512055634392742</cx:pt>
          <cx:pt idx="54">0.16373808183868307</cx:pt>
          <cx:pt idx="55">0.16772133339116413</cx:pt>
          <cx:pt idx="56">0.1735539913829528</cx:pt>
          <cx:pt idx="57">0.17510621947084556</cx:pt>
          <cx:pt idx="58">0.16958718391815689</cx:pt>
          <cx:pt idx="59">0.16644484635332304</cx:pt>
          <cx:pt idx="60">0.16716337631666497</cx:pt>
          <cx:pt idx="61">0.16381450314739621</cx:pt>
          <cx:pt idx="62">0.16722725655833123</cx:pt>
          <cx:pt idx="63">0.16599683611785099</cx:pt>
          <cx:pt idx="64">0.18162243972140918</cx:pt>
          <cx:pt idx="65">0.16591472705202442</cx:pt>
          <cx:pt idx="66">0.16602234036857802</cx:pt>
          <cx:pt idx="67">0.16908786611965043</cx:pt>
          <cx:pt idx="68">0.17638128982575751</cx:pt>
          <cx:pt idx="69">0.16977696516758892</cx:pt>
          <cx:pt idx="70">0.18611947638028986</cx:pt>
          <cx:pt idx="71">0.17591864433170701</cx:pt>
          <cx:pt idx="72">0.17352826365938498</cx:pt>
          <cx:pt idx="73">0.17729194550126942</cx:pt>
          <cx:pt idx="74">0.22518686395008525</cx:pt>
          <cx:pt idx="75">0.23648076526788112</cx:pt>
          <cx:pt idx="76">0.23126413683787495</cx:pt>
          <cx:pt idx="77">0.21930764369993347</cx:pt>
          <cx:pt idx="78">0.2075210558755663</cx:pt>
          <cx:pt idx="79">0.20962055503008756</cx:pt>
          <cx:pt idx="80">0.21973538759097422</cx:pt>
          <cx:pt idx="81">0.21521745493681768</cx:pt>
          <cx:pt idx="82">0.2044039538684097</cx:pt>
          <cx:pt idx="83">0.20028465015610464</cx:pt>
          <cx:pt idx="84">0.2047867656354399</cx:pt>
          <cx:pt idx="85">0.21287108180877931</cx:pt>
          <cx:pt idx="86">0.20964220077598114</cx:pt>
          <cx:pt idx="87">0.21682113858051374</cx:pt>
        </cx:lvl>
      </cx:numDim>
    </cx:data>
    <cx:data id="1">
      <cx:numDim type="val">
        <cx:f>Indicador_1!$C$4:$C$201</cx:f>
        <cx:lvl ptCount="198" formatCode="Geral">
          <cx:pt idx="0">0.052207713764579937</cx:pt>
          <cx:pt idx="1">0.055107304611058949</cx:pt>
          <cx:pt idx="2">0.067010287705162069</cx:pt>
          <cx:pt idx="3">0.057087993267874164</cx:pt>
          <cx:pt idx="4">0.050378184834916337</cx:pt>
          <cx:pt idx="5">0.053207971153684447</cx:pt>
          <cx:pt idx="6">0.054830392200773202</cx:pt>
          <cx:pt idx="7">0.072137287146625165</cx:pt>
          <cx:pt idx="8">0.057796630525181261</cx:pt>
          <cx:pt idx="9">0.057279258957932476</cx:pt>
          <cx:pt idx="10">0.058882675064971961</cx:pt>
          <cx:pt idx="11">0.057514927452166742</cx:pt>
          <cx:pt idx="12">0.058938750754532546</cx:pt>
          <cx:pt idx="13">0.056730010504085195</cx:pt>
          <cx:pt idx="14">0.057571754240326935</cx:pt>
          <cx:pt idx="15">0.061917678895539383</cx:pt>
          <cx:pt idx="16">0.057801348001834792</cx:pt>
          <cx:pt idx="17">0.054311154403310864</cx:pt>
          <cx:pt idx="18">0.053425781216366076</cx:pt>
          <cx:pt idx="19">0.052485961003373785</cx:pt>
          <cx:pt idx="20">0.053596000255452775</cx:pt>
          <cx:pt idx="21">0.055693947562201071</cx:pt>
          <cx:pt idx="22">0.28587382419738527</cx:pt>
          <cx:pt idx="23">0.2810299215556874</cx:pt>
          <cx:pt idx="24">0.27760202391002231</cx:pt>
          <cx:pt idx="25">0.2603619485201028</cx:pt>
          <cx:pt idx="26">0.2578148141763219</cx:pt>
          <cx:pt idx="27">0.25337266829819866</cx:pt>
          <cx:pt idx="28">0.25102685236950312</cx:pt>
          <cx:pt idx="29">0.24946809962600636</cx:pt>
          <cx:pt idx="30">0.26035612330725894</cx:pt>
          <cx:pt idx="31">0.2616560783848762</cx:pt>
          <cx:pt idx="32">0.25784765144336519</cx:pt>
          <cx:pt idx="33">0.25410107050815106</cx:pt>
          <cx:pt idx="34">0.2510778917688411</cx:pt>
          <cx:pt idx="35">0.23766907711730953</cx:pt>
          <cx:pt idx="36">0.23102512366132238</cx:pt>
          <cx:pt idx="37">0.23506441893741356</cx:pt>
          <cx:pt idx="38">0.23136453184574532</cx:pt>
          <cx:pt idx="39">0.22828291141438506</cx:pt>
          <cx:pt idx="40">0.22039801020752059</cx:pt>
          <cx:pt idx="41">0.22708165315847087</cx:pt>
          <cx:pt idx="42">0.22880503517008594</cx:pt>
          <cx:pt idx="43">0.23739356864584682</cx:pt>
          <cx:pt idx="44">0.1503787715974523</cx:pt>
          <cx:pt idx="45">0.15387598180646803</cx:pt>
          <cx:pt idx="46">0.14337492949613631</cx:pt>
          <cx:pt idx="47">0.14677207297565587</cx:pt>
          <cx:pt idx="48">0.15757959617576911</cx:pt>
          <cx:pt idx="49">0.14346439890839313</cx:pt>
          <cx:pt idx="50">0.14163576691618418</cx:pt>
          <cx:pt idx="51">0.13569230186820244</cx:pt>
          <cx:pt idx="52">0.14018705747243454</cx:pt>
          <cx:pt idx="53">0.13686108094267377</cx:pt>
          <cx:pt idx="54">0.12796386133659862</cx:pt>
          <cx:pt idx="55">0.13216995308484333</cx:pt>
          <cx:pt idx="56">0.12677769916305684</cx:pt>
          <cx:pt idx="57">0.12903051972505269</cx:pt>
          <cx:pt idx="58">0.13205649073923773</cx:pt>
          <cx:pt idx="59">0.13213064149334494</cx:pt>
          <cx:pt idx="60">0.13297535344482286</cx:pt>
          <cx:pt idx="61">0.12626121385676983</cx:pt>
          <cx:pt idx="62">0.12978480968675485</cx:pt>
          <cx:pt idx="63">0.12970982178490731</cx:pt>
          <cx:pt idx="64">0.12648832028189899</cx:pt>
          <cx:pt idx="65">0.13014802631351824</cx:pt>
          <cx:pt idx="66">0.091813807100990519</cx:pt>
          <cx:pt idx="67">0.091689869725501263</cx:pt>
          <cx:pt idx="68">0.085444960676593268</cx:pt>
          <cx:pt idx="69">0.079393244453281261</cx:pt>
          <cx:pt idx="70">0.075076579562469534</cx:pt>
          <cx:pt idx="71">0.080072287881672019</cx:pt>
          <cx:pt idx="72">0.084301360237503842</cx:pt>
          <cx:pt idx="73">0.083734074878184794</cx:pt>
          <cx:pt idx="74">0.081378196661329658</cx:pt>
          <cx:pt idx="75">0.083555593624928162</cx:pt>
          <cx:pt idx="76">0.086615830851461698</cx:pt>
          <cx:pt idx="77">0.089352835474369133</cx:pt>
          <cx:pt idx="78">0.091508498931684265</cx:pt>
          <cx:pt idx="79">0.093011655804121449</cx:pt>
          <cx:pt idx="80">0.092669245174762591</cx:pt>
          <cx:pt idx="81">0.088500340177695688</cx:pt>
          <cx:pt idx="82">0.093260910475941969</cx:pt>
          <cx:pt idx="83">0.089464936067075687</cx:pt>
          <cx:pt idx="84">0.084387070463039157</cx:pt>
          <cx:pt idx="85">0.084373305659496106</cx:pt>
          <cx:pt idx="86">0.08569304486336915</cx:pt>
          <cx:pt idx="87">0.089034185761794823</cx:pt>
          <cx:pt idx="88">0.070513806915790636</cx:pt>
          <cx:pt idx="89">0.072750875697001227</cx:pt>
          <cx:pt idx="90">0.072128336821131178</cx:pt>
          <cx:pt idx="91">0.072357774538666139</cx:pt>
          <cx:pt idx="92">0.071936344730416199</cx:pt>
          <cx:pt idx="93">0.073129065505920118</cx:pt>
          <cx:pt idx="94">0.076930073205492791</cx:pt>
          <cx:pt idx="95">0.068319176293184333</cx:pt>
          <cx:pt idx="96">0.06847025092749974</cx:pt>
          <cx:pt idx="97">0.065543294491823154</cx:pt>
          <cx:pt idx="98">0.065750740789206827</cx:pt>
          <cx:pt idx="99">0.065450348500100383</cx:pt>
          <cx:pt idx="100">0.065608887854032488</cx:pt>
          <cx:pt idx="101">0.066404589822381593</cx:pt>
          <cx:pt idx="102">0.067808624671797477</cx:pt>
          <cx:pt idx="103">0.062203972449376525</cx:pt>
          <cx:pt idx="104">0.06571898587803901</cx:pt>
          <cx:pt idx="105">0.061881229132786972</cx:pt>
          <cx:pt idx="106">0.064562278127119843</cx:pt>
          <cx:pt idx="107">0.062647352426572156</cx:pt>
          <cx:pt idx="108">0.061600754144081761</cx:pt>
          <cx:pt idx="109">0.061074851882251341</cx:pt>
          <cx:pt idx="110">0.16725822913579072</cx:pt>
          <cx:pt idx="111">0.16592704670629554</cx:pt>
          <cx:pt idx="112">0.17200607070904972</cx:pt>
          <cx:pt idx="113">0.16440943247034293</cx:pt>
          <cx:pt idx="114">0.15857346057429478</cx:pt>
          <cx:pt idx="115">0.15957060409448917</cx:pt>
          <cx:pt idx="116">0.15127605368485103</cx:pt>
          <cx:pt idx="117">0.15520883004796968</cx:pt>
          <cx:pt idx="118">0.15573920601695965</cx:pt>
          <cx:pt idx="119">0.1531172615501771</cx:pt>
          <cx:pt idx="120">0.15341712350441492</cx:pt>
          <cx:pt idx="121">0.15111570378845374</cx:pt>
          <cx:pt idx="122">0.15272809369452958</cx:pt>
          <cx:pt idx="123">0.15367647210845226</cx:pt>
          <cx:pt idx="124">0.15973442924328596</cx:pt>
          <cx:pt idx="125">0.17185411529806138</cx:pt>
          <cx:pt idx="126">0.16693196573690952</cx:pt>
          <cx:pt idx="127">0.15959091220983276</cx:pt>
          <cx:pt idx="128">0.16989679068494265</cx:pt>
          <cx:pt idx="129">0.16706020857463735</cx:pt>
          <cx:pt idx="130">0.16790647545608528</cx:pt>
          <cx:pt idx="131">0.15872778196393972</cx:pt>
          <cx:pt idx="132">0.060538208870285999</cx:pt>
          <cx:pt idx="133">0.058972439918957439</cx:pt>
          <cx:pt idx="134">0.05557616940258938</cx:pt>
          <cx:pt idx="135">0.050233663150910358</cx:pt>
          <cx:pt idx="136">0.049442136085021335</cx:pt>
          <cx:pt idx="137">0.050493162351271458</cx:pt>
          <cx:pt idx="138">0.049275071119875988</cx:pt>
          <cx:pt idx="139">0.050205010990249807</cx:pt>
          <cx:pt idx="140">0.050175306714439524</cx:pt>
          <cx:pt idx="141">0.051992665922845877</cx:pt>
          <cx:pt idx="142">0.054608850700056492</cx:pt>
          <cx:pt idx="143">0.05463127796919795</cx:pt>
          <cx:pt idx="144">0.055119865943265865</cx:pt>
          <cx:pt idx="145">0.056991943234494045</cx:pt>
          <cx:pt idx="146">0.058979219711590869</cx:pt>
          <cx:pt idx="147">0.056607644919897067</cx:pt>
          <cx:pt idx="148">0.055041671933885011</cx:pt>
          <cx:pt idx="149">0.052764144738605606</cx:pt>
          <cx:pt idx="150">0.059279229360042776</cx:pt>
          <cx:pt idx="151">0.058483977931121714</cx:pt>
          <cx:pt idx="152">0.06039177399755933</cx:pt>
          <cx:pt idx="153">0.059561210154518249</cx:pt>
          <cx:pt idx="154">0.062499330451900578</cx:pt>
          <cx:pt idx="155">0.064610205676398885</cx:pt>
          <cx:pt idx="156">0.06820564951756676</cx:pt>
          <cx:pt idx="157">0.065704093948385778</cx:pt>
          <cx:pt idx="158">0.073271047823898913</cx:pt>
          <cx:pt idx="159">0.074075825674711604</cx:pt>
          <cx:pt idx="160">0.075663913207572514</cx:pt>
          <cx:pt idx="161">0.069477578062711348</cx:pt>
          <cx:pt idx="162">0.072072496403412609</cx:pt>
          <cx:pt idx="163">0.07723972220282023</cx:pt>
          <cx:pt idx="164">0.077572101833628324</cx:pt>
          <cx:pt idx="165">0.078774943484451215</cx:pt>
          <cx:pt idx="166">0.075395267480388467</cx:pt>
          <cx:pt idx="167">0.07493823462865426</cx:pt>
          <cx:pt idx="168">0.075622965208570758</cx:pt>
          <cx:pt idx="169">0.073119814570866096</cx:pt>
          <cx:pt idx="170">0.07089294899567776</cx:pt>
          <cx:pt idx="171">0.0701095107001308</cx:pt>
          <cx:pt idx="172">0.068234901619748503</cx:pt>
          <cx:pt idx="173">0.066421002992801473</cx:pt>
          <cx:pt idx="174">0.066427034294379822</cx:pt>
          <cx:pt idx="175">0.062739397208557687</cx:pt>
          <cx:pt idx="176">0.058916307965823971</cx:pt>
          <cx:pt idx="177">0.056036354302631187</cx:pt>
          <cx:pt idx="178">0.058651571761749011</cx:pt>
          <cx:pt idx="179">0.053290939675159493</cx:pt>
          <cx:pt idx="180">0.053459458967400515</cx:pt>
          <cx:pt idx="181">0.060349725051256416</cx:pt>
          <cx:pt idx="182">0.061600455968222223</cx:pt>
          <cx:pt idx="183">0.061539738507469292</cx:pt>
          <cx:pt idx="184">0.060447395711967687</cx:pt>
          <cx:pt idx="185">0.0616508390949932</cx:pt>
          <cx:pt idx="186">0.063910632194423764</cx:pt>
          <cx:pt idx="187">0.0646429123225883</cx:pt>
          <cx:pt idx="188">0.062655817085992632</cx:pt>
          <cx:pt idx="189">0.064005391013266244</cx:pt>
          <cx:pt idx="190">0.056203897938118731</cx:pt>
          <cx:pt idx="191">0.056459940661571992</cx:pt>
          <cx:pt idx="192">0.057304859144415472</cx:pt>
          <cx:pt idx="193">0.054254532270293129</cx:pt>
          <cx:pt idx="194">0.051191103035878677</cx:pt>
          <cx:pt idx="195">0.053652240182252654</cx:pt>
          <cx:pt idx="196">0.049839824926221639</cx:pt>
          <cx:pt idx="197">0.046724598233949401</cx:pt>
        </cx:lvl>
      </cx:numDim>
    </cx:data>
    <cx:data id="2">
      <cx:numDim type="val">
        <cx:f>Indicador_1!$D$4:$D$157</cx:f>
        <cx:lvl ptCount="154" formatCode="Geral">
          <cx:pt idx="0">0.079335572622684369</cx:pt>
          <cx:pt idx="1">0.077026915548701433</cx:pt>
          <cx:pt idx="2">0.071636607440189431</cx:pt>
          <cx:pt idx="3">0.0721194355022899</cx:pt>
          <cx:pt idx="4">0.069231688405492403</cx:pt>
          <cx:pt idx="5">0.07106747471977537</cx:pt>
          <cx:pt idx="6">0.067600468044858669</cx:pt>
          <cx:pt idx="7">0.074107480223000233</cx:pt>
          <cx:pt idx="8">0.072022266088274348</cx:pt>
          <cx:pt idx="9">0.070848273259454475</cx:pt>
          <cx:pt idx="10">0.075545091775023471</cx:pt>
          <cx:pt idx="11">0.074726361719513912</cx:pt>
          <cx:pt idx="12">0.072258364369998412</cx:pt>
          <cx:pt idx="13">0.075630536206178947</cx:pt>
          <cx:pt idx="14">0.078652785391915891</cx:pt>
          <cx:pt idx="15">0.072902017461832835</cx:pt>
          <cx:pt idx="16">0.071070714919511058</cx:pt>
          <cx:pt idx="17">0.06860775728324485</cx:pt>
          <cx:pt idx="18">0.072210392043606922</cx:pt>
          <cx:pt idx="19">0.076349661467939312</cx:pt>
          <cx:pt idx="20">0.06667604442987253</cx:pt>
          <cx:pt idx="21">0.070684945159000742</cx:pt>
          <cx:pt idx="22">0.26002097857116119</cx:pt>
          <cx:pt idx="23">0.29415564219249651</cx:pt>
          <cx:pt idx="24">0.28758795520146868</cx:pt>
          <cx:pt idx="25">0.22937178654143153</cx:pt>
          <cx:pt idx="26">0.23762935646408795</cx:pt>
          <cx:pt idx="27">0.2382904212548814</cx:pt>
          <cx:pt idx="28">0.24471013383438714</cx:pt>
          <cx:pt idx="29">0.24627759526167575</cx:pt>
          <cx:pt idx="30">0.24283069882585684</cx:pt>
          <cx:pt idx="31">0.25093561571477752</cx:pt>
          <cx:pt idx="32">0.24678477175604671</cx:pt>
          <cx:pt idx="33">0.23996478765713161</cx:pt>
          <cx:pt idx="34">0.24669709436546364</cx:pt>
          <cx:pt idx="35">0.24342678057245815</cx:pt>
          <cx:pt idx="36">0.23558136794207946</cx:pt>
          <cx:pt idx="37">0.24915069017924057</cx:pt>
          <cx:pt idx="38">0.24437735320541895</cx:pt>
          <cx:pt idx="39">0.23812858063783612</cx:pt>
          <cx:pt idx="40">0.23938457241222177</cx:pt>
          <cx:pt idx="41">0.23248971697387752</cx:pt>
          <cx:pt idx="42">0.21820209897679504</cx:pt>
          <cx:pt idx="43">0.21252719092495362</cx:pt>
          <cx:pt idx="44">0.11307134598958873</cx:pt>
          <cx:pt idx="45">0.090512852008303071</cx:pt>
          <cx:pt idx="46">0.067140801849541631</cx:pt>
          <cx:pt idx="47">0.061373469601000846</cx:pt>
          <cx:pt idx="48">0.064459369381809684</cx:pt>
          <cx:pt idx="49">0.062815534705568832</cx:pt>
          <cx:pt idx="50">0.064005528841297704</cx:pt>
          <cx:pt idx="51">0.063194485606233655</cx:pt>
          <cx:pt idx="52">0.060219922801626337</cx:pt>
          <cx:pt idx="53">0.065003580766248112</cx:pt>
          <cx:pt idx="54">0.064360417696915209</cx:pt>
          <cx:pt idx="55">0.065012408045080294</cx:pt>
          <cx:pt idx="56">0.064010986989803911</cx:pt>
          <cx:pt idx="57">0.062052435942409424</cx:pt>
          <cx:pt idx="58">0.058800524625118276</cx:pt>
          <cx:pt idx="59">0.057845292170089831</cx:pt>
          <cx:pt idx="60">0.058906551022940026</cx:pt>
          <cx:pt idx="61">0.053131780855620106</cx:pt>
          <cx:pt idx="62">0.060171930146427369</cx:pt>
          <cx:pt idx="63">0.053827205300748492</cx:pt>
          <cx:pt idx="64">0.05047239409400571</cx:pt>
          <cx:pt idx="65">0.051320897642715774</cx:pt>
          <cx:pt idx="66">0.29711559892702571</cx:pt>
          <cx:pt idx="67">0.28715151026380037</cx:pt>
          <cx:pt idx="68">0.29852282001967445</cx:pt>
          <cx:pt idx="69">0.30817676498189711</cx:pt>
          <cx:pt idx="70">0.29697663582591782</cx:pt>
          <cx:pt idx="71">0.28379727986775294</cx:pt>
          <cx:pt idx="72">0.2926109839198362</cx:pt>
          <cx:pt idx="73">0.28595794350319059</cx:pt>
          <cx:pt idx="74">0.29116160598821433</cx:pt>
          <cx:pt idx="75">0.28850984491339621</cx:pt>
          <cx:pt idx="76">0.27974300424411169</cx:pt>
          <cx:pt idx="77">0.29088268011993468</cx:pt>
          <cx:pt idx="78">0.2803773673127225</cx:pt>
          <cx:pt idx="79">0.28019524898751552</cx:pt>
          <cx:pt idx="80">0.29197594815328715</cx:pt>
          <cx:pt idx="81">0.28763366521638178</cx:pt>
          <cx:pt idx="82">0.28130901194149799</cx:pt>
          <cx:pt idx="83">0.29717425994706348</cx:pt>
          <cx:pt idx="84">0.29236111940144777</cx:pt>
          <cx:pt idx="85">0.30105104726160697</cx:pt>
          <cx:pt idx="86">0.32350537413904001</cx:pt>
          <cx:pt idx="87">0.3109316628035585</cx:pt>
          <cx:pt idx="88">0.099581632462264619</cx:pt>
          <cx:pt idx="89">0.098917611703185193</cx:pt>
          <cx:pt idx="90">0.10997332528794766</cx:pt>
          <cx:pt idx="91">0.11561850574148819</cx:pt>
          <cx:pt idx="92">0.10469719524538992</cx:pt>
          <cx:pt idx="93">0.10885572730447256</cx:pt>
          <cx:pt idx="94">0.10420114487478335</cx:pt>
          <cx:pt idx="95">0.1023423274966067</cx:pt>
          <cx:pt idx="96">0.11401057690466532</cx:pt>
          <cx:pt idx="97">0.11337114898327103</cx:pt>
          <cx:pt idx="98">0.11359140288572757</cx:pt>
          <cx:pt idx="99">0.11086985762015739</cx:pt>
          <cx:pt idx="100">0.10973712953708632</cx:pt>
          <cx:pt idx="101">0.11105733383653978</cx:pt>
          <cx:pt idx="102">0.11207888012147012</cx:pt>
          <cx:pt idx="103">0.11309853411882027</cx:pt>
          <cx:pt idx="104">0.11566967581480384</cx:pt>
          <cx:pt idx="105">0.10532806979377192</cx:pt>
          <cx:pt idx="106">0.098887408615227476</cx:pt>
          <cx:pt idx="107">0.1013784132077611</cx:pt>
          <cx:pt idx="108">0.10265267731061048</cx:pt>
          <cx:pt idx="109">0.10325271051071044</cx:pt>
          <cx:pt idx="110">0.050761882587361994</cx:pt>
          <cx:pt idx="111">0.052082125385666443</cx:pt>
          <cx:pt idx="112">0.058791131454584249</cx:pt>
          <cx:pt idx="113">0.053262405418909406</cx:pt>
          <cx:pt idx="114">0.052105780048714689</cx:pt>
          <cx:pt idx="115">0.054243322973276123</cx:pt>
          <cx:pt idx="116">0.050606728934264586</cx:pt>
          <cx:pt idx="117">0.049859969381063275</cx:pt>
          <cx:pt idx="118">0.045698001857339458</cx:pt>
          <cx:pt idx="119">0.043699597596524038</cx:pt>
          <cx:pt idx="120">0.045130061524101248</cx:pt>
          <cx:pt idx="121">0.047727918138429429</cx:pt>
          <cx:pt idx="122">0.046481318669544608</cx:pt>
          <cx:pt idx="123">0.049919070384372252</cx:pt>
          <cx:pt idx="124">0.047709735318331503</cx:pt>
          <cx:pt idx="125">0.048195799381981909</cx:pt>
          <cx:pt idx="126">0.0534482693199081</cx:pt>
          <cx:pt idx="127">0.042562924814090915</cx:pt>
          <cx:pt idx="128">0.04166510397676735</cx:pt>
          <cx:pt idx="129">0.040633411080444382</cx:pt>
          <cx:pt idx="130">0.040458598076061225</cx:pt>
          <cx:pt idx="131">0.043451253074071328</cx:pt>
          <cx:pt idx="132">0.10011298883991324</cx:pt>
          <cx:pt idx="133">0.10015334289784693</cx:pt>
          <cx:pt idx="134">0.10634735874659403</cx:pt>
          <cx:pt idx="135">0.10410932415670869</cx:pt>
          <cx:pt idx="136">0.10900357215316783</cx:pt>
          <cx:pt idx="137">0.11907595474534789</cx:pt>
          <cx:pt idx="138">0.11547349523502864</cx:pt>
          <cx:pt idx="139">0.11685695470526485</cx:pt>
          <cx:pt idx="140">0.11511796158087403</cx:pt>
          <cx:pt idx="141">0.11286489122309006</cx:pt>
          <cx:pt idx="142">0.11692436411247166</cx:pt>
          <cx:pt idx="143">0.11434676571591923</cx:pt>
          <cx:pt idx="144">0.11735630625502159</cx:pt>
          <cx:pt idx="145">0.10679504246855213</cx:pt>
          <cx:pt idx="146">0.10235840668077574</cx:pt>
          <cx:pt idx="147">0.10229428707598702</cx:pt>
          <cx:pt idx="148">0.10177253000315209</cx:pt>
          <cx:pt idx="149">0.092297844673212809</cx:pt>
          <cx:pt idx="150">0.094058897665848989</cx:pt>
          <cx:pt idx="151">0.094453378639670654</cx:pt>
          <cx:pt idx="152">0.097165595221723355</cx:pt>
          <cx:pt idx="153">0.10182106906553257</cx:pt>
        </cx:lvl>
      </cx:numDim>
    </cx:data>
    <cx:data id="3">
      <cx:numDim type="val">
        <cx:f>Indicador_1!$E$4:$E$91</cx:f>
        <cx:lvl ptCount="88" formatCode="Geral">
          <cx:pt idx="0">0.045077445411683466</cx:pt>
          <cx:pt idx="1">0.045360401693490857</cx:pt>
          <cx:pt idx="2">0.046073124435748215</cx:pt>
          <cx:pt idx="3">0.040813135112297894</cx:pt>
          <cx:pt idx="4">0.040403023220596933</cx:pt>
          <cx:pt idx="5">0.042971817924049804</cx:pt>
          <cx:pt idx="6">0.04402295633898734</cx:pt>
          <cx:pt idx="7">0.041357984262905857</cx:pt>
          <cx:pt idx="8">0.043880915919145357</cx:pt>
          <cx:pt idx="9">0.047706619731126151</cx:pt>
          <cx:pt idx="10">0.052242443794090938</cx:pt>
          <cx:pt idx="11">0.052076464848339762</cx:pt>
          <cx:pt idx="12">0.05374313105797434</cx:pt>
          <cx:pt idx="13">0.054684877664813634</cx:pt>
          <cx:pt idx="14">0.05144453942092201</cx:pt>
          <cx:pt idx="15">0.048612123469412891</cx:pt>
          <cx:pt idx="16">0.052263282575655927</cx:pt>
          <cx:pt idx="17">0.053745788670441379</cx:pt>
          <cx:pt idx="18">0.047531170882712213</cx:pt>
          <cx:pt idx="19">0.049322224922583098</cx:pt>
          <cx:pt idx="20">0.047362805942930748</cx:pt>
          <cx:pt idx="21">0.045916901870486318</cx:pt>
          <cx:pt idx="22">0.1742486742807528</cx:pt>
          <cx:pt idx="23">0.1732840404878937</cx:pt>
          <cx:pt idx="24">0.18087153433870626</cx:pt>
          <cx:pt idx="25">0.16942981780526206</cx:pt>
          <cx:pt idx="26">0.17269405429553542</cx:pt>
          <cx:pt idx="27">0.16961248206810517</cx:pt>
          <cx:pt idx="28">0.17863802241564283</cx:pt>
          <cx:pt idx="29">0.18119181711849439</cx:pt>
          <cx:pt idx="30">0.17804823765982344</cx:pt>
          <cx:pt idx="31">0.17376096608307065</cx:pt>
          <cx:pt idx="32">0.1795425984349141</cx:pt>
          <cx:pt idx="33">0.17892491418125911</cx:pt>
          <cx:pt idx="34">0.18202696470611354</cx:pt>
          <cx:pt idx="35">0.19117207454370019</cx:pt>
          <cx:pt idx="36">0.18788939558946036</cx:pt>
          <cx:pt idx="37">0.18592516915562463</cx:pt>
          <cx:pt idx="38">0.18638966078023228</cx:pt>
          <cx:pt idx="39">0.18644672304263493</cx:pt>
          <cx:pt idx="40">0.18236874004413961</cx:pt>
          <cx:pt idx="41">0.18651840610803808</cx:pt>
          <cx:pt idx="42">0.19293162369924358</cx:pt>
          <cx:pt idx="43">0.20430712181637734</cx:pt>
          <cx:pt idx="44">0.15504829907521955</cx:pt>
          <cx:pt idx="45">0.15524309685408305</cx:pt>
          <cx:pt idx="46">0.14744420111351883</cx:pt>
          <cx:pt idx="47">0.16377606542833159</cx:pt>
          <cx:pt idx="48">0.16541866592095714</cx:pt>
          <cx:pt idx="49">0.17121342637283243</cx:pt>
          <cx:pt idx="50">0.17805198851977919</cx:pt>
          <cx:pt idx="51">0.18119907001095248</cx:pt>
          <cx:pt idx="52">0.19935518665632612</cx:pt>
          <cx:pt idx="53">0.19834672452232732</cx:pt>
          <cx:pt idx="54">0.189901534661888</cx:pt>
          <cx:pt idx="55">0.19219707293387756</cx:pt>
          <cx:pt idx="56">0.18241546017646346</cx:pt>
          <cx:pt idx="57">0.18248739614890444</cx:pt>
          <cx:pt idx="58">0.17978172123693012</cx:pt>
          <cx:pt idx="59">0.18710483291473881</cx:pt>
          <cx:pt idx="60">0.18914311996332897</cx:pt>
          <cx:pt idx="61">0.18729177107214134</cx:pt>
          <cx:pt idx="62">0.20100194891966242</cx:pt>
          <cx:pt idx="63">0.19149553101340969</cx:pt>
          <cx:pt idx="64">0.19351506981142447</cx:pt>
          <cx:pt idx="65">0.1761932580107331</cx:pt>
          <cx:pt idx="66">0.62562558123234424</cx:pt>
          <cx:pt idx="67">0.62611246096453244</cx:pt>
          <cx:pt idx="68">0.62561114011202679</cx:pt>
          <cx:pt idx="69">0.62141737412877396</cx:pt>
          <cx:pt idx="70">0.61210166884495598</cx:pt>
          <cx:pt idx="71">0.60786404062062793</cx:pt>
          <cx:pt idx="72">0.59156867801069912</cx:pt>
          <cx:pt idx="73">0.58853169796453941</cx:pt>
          <cx:pt idx="74">0.57181754079933766</cx:pt>
          <cx:pt idx="75">0.5738191355301131</cx:pt>
          <cx:pt idx="76">0.57190710405811673</cx:pt>
          <cx:pt idx="77">0.57126547953156759</cx:pt>
          <cx:pt idx="78">0.57549989647948563</cx:pt>
          <cx:pt idx="79">0.56479288688003615</cx:pt>
          <cx:pt idx="80">0.57405719217966289</cx:pt>
          <cx:pt idx="81">0.57174613570331423</cx:pt>
          <cx:pt idx="82">0.5650153309467193</cx:pt>
          <cx:pt idx="83">0.56172739469867849</cx:pt>
          <cx:pt idx="84">0.5586982876942399</cx:pt>
          <cx:pt idx="85">0.56210023927966046</cx:pt>
          <cx:pt idx="86">0.55587884120567899</cx:pt>
          <cx:pt idx="87">0.5623081840446944</cx:pt>
        </cx:lvl>
      </cx:numDim>
    </cx:data>
    <cx:data id="4">
      <cx:numDim type="val">
        <cx:f>Indicador_1!$F$4:$F$69</cx:f>
        <cx:lvl ptCount="66" formatCode="Geral">
          <cx:pt idx="0">0.33809134605830277</cx:pt>
          <cx:pt idx="1">0.3386506835715179</cx:pt>
          <cx:pt idx="2">0.35577931972494542</cx:pt>
          <cx:pt idx="3">0.3445214918856026</cx:pt>
          <cx:pt idx="4">0.34952160062119525</cx:pt>
          <cx:pt idx="5">0.34881770431077957</cx:pt>
          <cx:pt idx="6">0.34249763327688892</cx:pt>
          <cx:pt idx="7">0.34374842535027239</cx:pt>
          <cx:pt idx="8">0.3375241246707632</cx:pt>
          <cx:pt idx="9">0.34568340348576909</cx:pt>
          <cx:pt idx="10">0.33940907526794417</cx:pt>
          <cx:pt idx="11">0.33912265469643921</cx:pt>
          <cx:pt idx="12">0.35233612345178322</cx:pt>
          <cx:pt idx="13">0.3481790707832636</cx:pt>
          <cx:pt idx="14">0.36417268174747253</cx:pt>
          <cx:pt idx="15">0.35317771754777638</cx:pt>
          <cx:pt idx="16">0.3602199579109987</cx:pt>
          <cx:pt idx="17">0.36501560144577622</cx:pt>
          <cx:pt idx="18">0.36880213490623592</cx:pt>
          <cx:pt idx="19">0.36674120751906741</cx:pt>
          <cx:pt idx="20">0.3713373149475277</cx:pt>
          <cx:pt idx="21">0.38084444946763601</cx:pt>
          <cx:pt idx="22">0.45054413071235544</cx:pt>
          <cx:pt idx="23">0.45060626113587621</cx:pt>
          <cx:pt idx="24">0.43194521211184661</cx:pt>
          <cx:pt idx="25">0.44771226890711269</cx:pt>
          <cx:pt idx="26">0.434563801114349</cx:pt>
          <cx:pt idx="27">0.43128975469453329</cx:pt>
          <cx:pt idx="28">0.43516996390470797</cx:pt>
          <cx:pt idx="29">0.42937299315297683</cx:pt>
          <cx:pt idx="30">0.43173942550739824</cx:pt>
          <cx:pt idx="31">0.42190096639174418</cx:pt>
          <cx:pt idx="32">0.42478983108723667</cx:pt>
          <cx:pt idx="33">0.42437632765402516</cx:pt>
          <cx:pt idx="34">0.40452692843663612</cx:pt>
          <cx:pt idx="35">0.40691813752367417</cx:pt>
          <cx:pt idx="36">0.39829528458543634</cx:pt>
          <cx:pt idx="37">0.40803419260389673</cx:pt>
          <cx:pt idx="38">0.38731537731180393</cx:pt>
          <cx:pt idx="39">0.38229177716184271</cx:pt>
          <cx:pt idx="40">0.37102533330365445</cx:pt>
          <cx:pt idx="41">0.36928784403311388</cx:pt>
          <cx:pt idx="42">0.37194967996446532</cx:pt>
          <cx:pt idx="43">0.37080424506326343</cx:pt>
          <cx:pt idx="44">0.21136452322934174</cx:pt>
          <cx:pt idx="45">0.21074305529260595</cx:pt>
          <cx:pt idx="46">0.21227546816320797</cx:pt>
          <cx:pt idx="47">0.19365176553647134</cx:pt>
          <cx:pt idx="48">0.19562196429261908</cx:pt>
          <cx:pt idx="49">0.20133964052923128</cx:pt>
          <cx:pt idx="50">0.20505761244735443</cx:pt>
          <cx:pt idx="51">0.20958943391538221</cx:pt>
          <cx:pt idx="52">0.21567166339438826</cx:pt>
          <cx:pt idx="53">0.2181636383685811</cx:pt>
          <cx:pt idx="54">0.22123718833207318</cx:pt>
          <cx:pt idx="55">0.22292166315991793</cx:pt>
          <cx:pt idx="56">0.22806184153899195</cx:pt>
          <cx:pt idx="57">0.22833148439973175</cx:pt>
          <cx:pt idx="58">0.22193734043243293</cx:pt>
          <cx:pt idx="59">0.22410154604133137</cx:pt>
          <cx:pt idx="60">0.23672476352168384</cx:pt>
          <cx:pt idx="61">0.22997198295385876</cx:pt>
          <cx:pt idx="62">0.23913908327790623</cx:pt>
          <cx:pt idx="63">0.24280737782835268</cx:pt>
          <cx:pt idx="64">0.23644600914215108</cx:pt>
          <cx:pt idx="65">0.22851740535826534</cx:pt>
        </cx:lvl>
      </cx:numDim>
    </cx:data>
  </cx:chartData>
  <cx:chart>
    <cx:plotArea>
      <cx:plotAreaRegion>
        <cx:series layoutId="boxWhisker" uniqueId="{AC8957EB-073C-DA48-8AA4-BC1C838B0048}">
          <cx:tx>
            <cx:txData>
              <cx:f>Indicador_1!$B$3</cx:f>
              <cx:v>Centro-Oeste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Indicador_1!$C$3</cx:f>
              <cx:v>Nordeste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94"/>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Indicador_1!$D$3</cx:f>
              <cx:v>Norte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Indicador_1!$E$3</cx:f>
              <cx:v>Sudeste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Indicador_1!$F$3</cx:f>
              <cx:v>Sul</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Indicador_2!$B$4:$B$91</cx:f>
        <cx:lvl ptCount="88" formatCode="Geral">
          <cx:pt idx="0">0.41229587336213608</cx:pt>
          <cx:pt idx="1">0.41506890422957238</cx:pt>
          <cx:pt idx="2">0.3872161620938116</cx:pt>
          <cx:pt idx="3">0.39933644647857575</cx:pt>
          <cx:pt idx="4">0.38812509577629273</cx:pt>
          <cx:pt idx="5">0.41900209372885133</cx:pt>
          <cx:pt idx="6">0.40490415131953222</cx:pt>
          <cx:pt idx="7">0.41588104362717687</cx:pt>
          <cx:pt idx="8">0.29027913755436785</cx:pt>
          <cx:pt idx="9">0.28115062436223431</cx:pt>
          <cx:pt idx="10">0.29419209475475705</cx:pt>
          <cx:pt idx="11">0.31484118398309557</cx:pt>
          <cx:pt idx="12">0.29902361733141397</cx:pt>
          <cx:pt idx="13">0.3156468708095283</cx:pt>
          <cx:pt idx="14">0.31012580339160051</cx:pt>
          <cx:pt idx="15">0.28402463037688058</cx:pt>
          <cx:pt idx="16">0.27535147192187243</cx:pt>
          <cx:pt idx="17">0.27909412088388813</cx:pt>
          <cx:pt idx="18">0.28415290856043385</cx:pt>
          <cx:pt idx="19">0.29112130922076529</cx:pt>
          <cx:pt idx="20">0.26930709529792252</cx:pt>
          <cx:pt idx="21">0.2758345100748526</cx:pt>
          <cx:pt idx="22">0.26765482577273186</cx:pt>
          <cx:pt idx="23">0.28644374123062244</cx:pt>
          <cx:pt idx="24">0.28376481293405686</cx:pt>
          <cx:pt idx="25">0.30407667318619308</cx:pt>
          <cx:pt idx="26">0.31391884812711124</cx:pt>
          <cx:pt idx="27">0.24791156699970535</cx:pt>
          <cx:pt idx="28">0.29664257382269216</cx:pt>
          <cx:pt idx="29">0.26721662688834885</cx:pt>
          <cx:pt idx="30">0.31885367908981538</cx:pt>
          <cx:pt idx="31">0.31989063133580703</cx:pt>
          <cx:pt idx="32">0.29966502199934703</cx:pt>
          <cx:pt idx="33">0.29454149794999157</cx:pt>
          <cx:pt idx="34">0.3126787300196362</cx:pt>
          <cx:pt idx="35">0.29670718096835935</cx:pt>
          <cx:pt idx="36">0.28825128880690343</cx:pt>
          <cx:pt idx="37">0.3216368927570053</cx:pt>
          <cx:pt idx="38">0.3417808630492013</cx:pt>
          <cx:pt idx="39">0.34295939343263288</cx:pt>
          <cx:pt idx="40">0.32812516970809397</cx:pt>
          <cx:pt idx="41">0.33456956485878264</cx:pt>
          <cx:pt idx="42">0.33679453444185642</cx:pt>
          <cx:pt idx="43">0.32252809511464875</cx:pt>
          <cx:pt idx="44">0.12311318855131301</cx:pt>
          <cx:pt idx="45">0.13270864266078258</cx:pt>
          <cx:pt idx="46">0.1686676873931571</cx:pt>
          <cx:pt idx="47">0.12544405549559753</cx:pt>
          <cx:pt idx="48">0.12146028096350259</cx:pt>
          <cx:pt idx="49">0.16486979026818663</cx:pt>
          <cx:pt idx="50">0.12731511285923539</cx:pt>
          <cx:pt idx="51">0.13380488481451613</cx:pt>
          <cx:pt idx="52">0.16787930709721088</cx:pt>
          <cx:pt idx="53">0.16554702626311804</cx:pt>
          <cx:pt idx="54">0.16982357154510919</cx:pt>
          <cx:pt idx="55">0.16801104014839641</cx:pt>
          <cx:pt idx="56">0.16955287596771224</cx:pt>
          <cx:pt idx="57">0.16930949247692967</cx:pt>
          <cx:pt idx="58">0.17056389977867972</cx:pt>
          <cx:pt idx="59">0.17354105966411232</cx:pt>
          <cx:pt idx="60">0.17282158431280484</cx:pt>
          <cx:pt idx="61">0.16068521434624436</cx:pt>
          <cx:pt idx="62">0.1697150722003048</cx:pt>
          <cx:pt idx="63">0.16781956296890124</cx:pt>
          <cx:pt idx="64">0.17694736721004375</cx:pt>
          <cx:pt idx="65">0.1741858678559827</cx:pt>
          <cx:pt idx="66">0.19693611231381911</cx:pt>
          <cx:pt idx="67">0.16577871187902254</cx:pt>
          <cx:pt idx="68">0.16035133757897443</cx:pt>
          <cx:pt idx="69">0.17114282483963367</cx:pt>
          <cx:pt idx="70">0.17649577513309356</cx:pt>
          <cx:pt idx="71">0.16821654900325667</cx:pt>
          <cx:pt idx="72">0.17113816199854032</cx:pt>
          <cx:pt idx="73">0.18309744466995817</cx:pt>
          <cx:pt idx="74">0.22298787625860592</cx:pt>
          <cx:pt idx="75">0.23341171803884059</cx:pt>
          <cx:pt idx="76">0.23631931170078668</cx:pt>
          <cx:pt idx="77">0.22260627791851642</cx:pt>
          <cx:pt idx="78">0.21874477668123762</cx:pt>
          <cx:pt idx="79">0.21833645574518262</cx:pt>
          <cx:pt idx="80">0.2310590080228162</cx:pt>
          <cx:pt idx="81">0.2207974172020018</cx:pt>
          <cx:pt idx="82">0.21004608071612141</cx:pt>
          <cx:pt idx="83">0.21726127133723455</cx:pt>
          <cx:pt idx="84">0.21800684953116745</cx:pt>
          <cx:pt idx="85">0.20648956295155077</cx:pt>
          <cx:pt idx="86">0.21695100305017734</cx:pt>
          <cx:pt idx="87">0.22745152695451584</cx:pt>
        </cx:lvl>
      </cx:numDim>
    </cx:data>
    <cx:data id="1">
      <cx:numDim type="val">
        <cx:f>Indicador_2!$C$4:$C$201</cx:f>
        <cx:lvl ptCount="198" formatCode="Geral">
          <cx:pt idx="0">0.070244513090605934</cx:pt>
          <cx:pt idx="1">0.082356585654426939</cx:pt>
          <cx:pt idx="2">0.082281748042194083</cx:pt>
          <cx:pt idx="3">0.051821736539183864</cx:pt>
          <cx:pt idx="4">0.054629600446654186</cx:pt>
          <cx:pt idx="5">0.057645721352910011</cx:pt>
          <cx:pt idx="6">0.060084219581962174</cx:pt>
          <cx:pt idx="7">0.079920574544554521</cx:pt>
          <cx:pt idx="8">0.059814486575247502</cx:pt>
          <cx:pt idx="9">0.059937906218440959</cx:pt>
          <cx:pt idx="10">0.063076872161594494</cx:pt>
          <cx:pt idx="11">0.05958863486499659</cx:pt>
          <cx:pt idx="12">0.060489532763031782</cx:pt>
          <cx:pt idx="13">0.06258278208028431</cx:pt>
          <cx:pt idx="14">0.06441657797273817</cx:pt>
          <cx:pt idx="15">0.063170414387731813</cx:pt>
          <cx:pt idx="16">0.063346089094702074</cx:pt>
          <cx:pt idx="17">0.062158142757729247</cx:pt>
          <cx:pt idx="18">0.05915412638206765</cx:pt>
          <cx:pt idx="19">0.062919132819135262</cx:pt>
          <cx:pt idx="20">0.059453195458097331</cx:pt>
          <cx:pt idx="21">0.058206088288095092</cx:pt>
          <cx:pt idx="22">0.30290933998675496</cx:pt>
          <cx:pt idx="23">0.28986276855617082</cx:pt>
          <cx:pt idx="24">0.28159421655364375</cx:pt>
          <cx:pt idx="25">0.3131795739698921</cx:pt>
          <cx:pt idx="26">0.26779104360783529</cx:pt>
          <cx:pt idx="27">0.24988603682420363</cx:pt>
          <cx:pt idx="28">0.24809225199108184</cx:pt>
          <cx:pt idx="29">0.24935088192012556</cx:pt>
          <cx:pt idx="30">0.27478894218521993</cx:pt>
          <cx:pt idx="31">0.27292196800750046</cx:pt>
          <cx:pt idx="32">0.27483237265574662</cx:pt>
          <cx:pt idx="33">0.26238253282263824</cx:pt>
          <cx:pt idx="34">0.26524908647288853</cx:pt>
          <cx:pt idx="35">0.25873326045486789</cx:pt>
          <cx:pt idx="36">0.23948282091148196</cx:pt>
          <cx:pt idx="37">0.2388213799024366</cx:pt>
          <cx:pt idx="38">0.24281391807180217</cx:pt>
          <cx:pt idx="39">0.23966997297103595</cx:pt>
          <cx:pt idx="40">0.23352877293810387</cx:pt>
          <cx:pt idx="41">0.22992126222465606</cx:pt>
          <cx:pt idx="42">0.25111256762719736</cx:pt>
          <cx:pt idx="43">0.26306023399042672</cx:pt>
          <cx:pt idx="44">0.14158897245589955</cx:pt>
          <cx:pt idx="45">0.14016651428631086</cx:pt>
          <cx:pt idx="46">0.13894713051794719</cx:pt>
          <cx:pt idx="47">0.13714950550842631</cx:pt>
          <cx:pt idx="48">0.20462613293158663</cx:pt>
          <cx:pt idx="49">0.15389901442735465</cx:pt>
          <cx:pt idx="50">0.15565291558336544</cx:pt>
          <cx:pt idx="51">0.15095695959782299</cx:pt>
          <cx:pt idx="52">0.15313590199292831</cx:pt>
          <cx:pt idx="53">0.1456754977868524</cx:pt>
          <cx:pt idx="54">0.13568318007679669</cx:pt>
          <cx:pt idx="55">0.15140267588758907</cx:pt>
          <cx:pt idx="56">0.13111344387007776</cx:pt>
          <cx:pt idx="57">0.13263489359142647</cx:pt>
          <cx:pt idx="58">0.14378579052576873</cx:pt>
          <cx:pt idx="59">0.14991446000347905</cx:pt>
          <cx:pt idx="60">0.14478296228924589</cx:pt>
          <cx:pt idx="61">0.14339281895914074</cx:pt>
          <cx:pt idx="62">0.13869427599192527</cx:pt>
          <cx:pt idx="63">0.15117778385144456</cx:pt>
          <cx:pt idx="64">0.14650170987926622</cx:pt>
          <cx:pt idx="65">0.14444502710212331</cx:pt>
          <cx:pt idx="66">0.076213600527977515</cx:pt>
          <cx:pt idx="67">0.082344045043687461</cx:pt>
          <cx:pt idx="68">0.079715685116592438</cx:pt>
          <cx:pt idx="69">0.063575463685674807</cx:pt>
          <cx:pt idx="70">0.083108532162183349</cx:pt>
          <cx:pt idx="71">0.087398059998819999</cx:pt>
          <cx:pt idx="72">0.09117599802109333</cx:pt>
          <cx:pt idx="73">0.089267913604584359</cx:pt>
          <cx:pt idx="74">0.095572581840303206</cx:pt>
          <cx:pt idx="75">0.088167222697004485</cx:pt>
          <cx:pt idx="76">0.089857333476205462</cx:pt>
          <cx:pt idx="77">0.092159879809078166</cx:pt>
          <cx:pt idx="78">0.098872951963726793</cx:pt>
          <cx:pt idx="79">0.1021747916102152</cx:pt>
          <cx:pt idx="80">0.1018223626111331</cx:pt>
          <cx:pt idx="81">0.099387517327871225</cx:pt>
          <cx:pt idx="82">0.10116957811102671</cx:pt>
          <cx:pt idx="83">0.10236067629524617</cx:pt>
          <cx:pt idx="84">0.11081661135463501</cx:pt>
          <cx:pt idx="85">0.099180115300722307</cx:pt>
          <cx:pt idx="86">0.099810993240475279</cx:pt>
          <cx:pt idx="87">0.10164380122720917</cx:pt>
          <cx:pt idx="88">0.068143460093108094</cx:pt>
          <cx:pt idx="89">0.065387997597376596</cx:pt>
          <cx:pt idx="90">0.065686817008183504</cx:pt>
          <cx:pt idx="91">0.060157062218402398</cx:pt>
          <cx:pt idx="92">0.06755701934969717</cx:pt>
          <cx:pt idx="93">0.077546259635437265</cx:pt>
          <cx:pt idx="94">0.086831292865035811</cx:pt>
          <cx:pt idx="95">0.076602069551819932</cx:pt>
          <cx:pt idx="96">0.073373948884105505</cx:pt>
          <cx:pt idx="97">0.073342151019605298</cx:pt>
          <cx:pt idx="98">0.071552165590611297</cx:pt>
          <cx:pt idx="99">0.070921180526938174</cx:pt>
          <cx:pt idx="100">0.073284519809789436</cx:pt>
          <cx:pt idx="101">0.07047296146430318</cx:pt>
          <cx:pt idx="102">0.069771729706087651</cx:pt>
          <cx:pt idx="103">0.068513149384274372</cx:pt>
          <cx:pt idx="104">0.067445763834001193</cx:pt>
          <cx:pt idx="105">0.071329498691067236</cx:pt>
          <cx:pt idx="106">0.071125207700779333</cx:pt>
          <cx:pt idx="107">0.072149627290872362</cx:pt>
          <cx:pt idx="108">0.071510779672078945</cx:pt>
          <cx:pt idx="109">0.069835322816821963</cx:pt>
          <cx:pt idx="110">0.15817418031518179</cx:pt>
          <cx:pt idx="111">0.16549258469649353</cx:pt>
          <cx:pt idx="112">0.1580141674686209</cx:pt>
          <cx:pt idx="113">0.20816369187087755</cx:pt>
          <cx:pt idx="114">0.15701776545288315</cx:pt>
          <cx:pt idx="115">0.18650497393669499</cx:pt>
          <cx:pt idx="116">0.17313926973212118</cx:pt>
          <cx:pt idx="117">0.1700059716729122</cx:pt>
          <cx:pt idx="118">0.15769722471868136</cx:pt>
          <cx:pt idx="119">0.15813262509024184</cx:pt>
          <cx:pt idx="120">0.15878188673831534</cx:pt>
          <cx:pt idx="121">0.15385360079425894</cx:pt>
          <cx:pt idx="122">0.16172710181613922</cx:pt>
          <cx:pt idx="123">0.16371115200065459</cx:pt>
          <cx:pt idx="124">0.17080796323316236</cx:pt>
          <cx:pt idx="125">0.17399357501118673</cx:pt>
          <cx:pt idx="126">0.17928812784842507</cx:pt>
          <cx:pt idx="127">0.17924971854741534</cx:pt>
          <cx:pt idx="128">0.1868245510598798</cx:pt>
          <cx:pt idx="129">0.19021006433502927</cx:pt>
          <cx:pt idx="130">0.17881057575271148</cx:pt>
          <cx:pt idx="131">0.16960500599404643</cx:pt>
          <cx:pt idx="132">0.064048703639875776</cx:pt>
          <cx:pt idx="133">0.055200037669743782</cx:pt>
          <cx:pt idx="134">0.051989890093836671</cx:pt>
          <cx:pt idx="135">0.039717352589230016</cx:pt>
          <cx:pt idx="136">0.04476501828187078</cx:pt>
          <cx:pt idx="137">0.058506739600688633</cx:pt>
          <cx:pt idx="138">0.050530532783518822</cx:pt>
          <cx:pt idx="139">0.05254908085830079</cx:pt>
          <cx:pt idx="140">0.053777761334444341</cx:pt>
          <cx:pt idx="141">0.056651351786159397</cx:pt>
          <cx:pt idx="142">0.058896458915314892</cx:pt>
          <cx:pt idx="143">0.057689536596806722</cx:pt>
          <cx:pt idx="144">0.061814080478025349</cx:pt>
          <cx:pt idx="145">0.064038747084846553</cx:pt>
          <cx:pt idx="146">0.067922623873518773</cx:pt>
          <cx:pt idx="147">0.063726972652233524</cx:pt>
          <cx:pt idx="148">0.061976475816975268</cx:pt>
          <cx:pt idx="149">0.063353003772991773</cx:pt>
          <cx:pt idx="150">0.068321228165205541</cx:pt>
          <cx:pt idx="151">0.065299672314152929</cx:pt>
          <cx:pt idx="152">0.067324452627515977</cx:pt>
          <cx:pt idx="153">0.072711363459502465</cx:pt>
          <cx:pt idx="154">0.05993136650683753</cx:pt>
          <cx:pt idx="155">0.061774580072510639</cx:pt>
          <cx:pt idx="156">0.073779051478489871</cx:pt>
          <cx:pt idx="157">0.07106074704357436</cx:pt>
          <cx:pt idx="158">0.067879904648531081</cx:pt>
          <cx:pt idx="159">0.071257248947008162</cx:pt>
          <cx:pt idx="160">0.074784194103135887</cx:pt>
          <cx:pt idx="161">0.070889332522521373</cx:pt>
          <cx:pt idx="162">0.070222471087881669</cx:pt>
          <cx:pt idx="163">0.078892141492651432</cx:pt>
          <cx:pt idx="164">0.081746594126961794</cx:pt>
          <cx:pt idx="165">0.082475704898225449</cx:pt>
          <cx:pt idx="166">0.083598352631533118</cx:pt>
          <cx:pt idx="167">0.079957391770554956</cx:pt>
          <cx:pt idx="168">0.080919420264420394</cx:pt>
          <cx:pt idx="169">0.079125119210652808</cx:pt>
          <cx:pt idx="170">0.074857754160557025</cx:pt>
          <cx:pt idx="171">0.075758590765109435</cx:pt>
          <cx:pt idx="172">0.072382802041127556</cx:pt>
          <cx:pt idx="173">0.069757421716422255</cx:pt>
          <cx:pt idx="174">0.068955273622797131</cx:pt>
          <cx:pt idx="175">0.066486691486023833</cx:pt>
          <cx:pt idx="176">0.05874586338375886</cx:pt>
          <cx:pt idx="177">0.057414886423279347</cx:pt>
          <cx:pt idx="178">0.067991293720491661</cx:pt>
          <cx:pt idx="179">0.055174866574738649</cx:pt>
          <cx:pt idx="180">0.052624983118758455</cx:pt>
          <cx:pt idx="181">0.057355945276882772</cx:pt>
          <cx:pt idx="182">0.059709325338685545</cx:pt>
          <cx:pt idx="183">0.060457215727358252</cx:pt>
          <cx:pt idx="184">0.061616681381188164</cx:pt>
          <cx:pt idx="185">0.066279135901543829</cx:pt>
          <cx:pt idx="186">0.065573136258453374</cx:pt>
          <cx:pt idx="187">0.069526253799468682</cx:pt>
          <cx:pt idx="188">0.063850930194788033</cx:pt>
          <cx:pt idx="189">0.065694019942846862</cx:pt>
          <cx:pt idx="190">0.061070710901688814</cx:pt>
          <cx:pt idx="191">0.063347412120133909</cx:pt>
          <cx:pt idx="192">0.064319330773264585</cx:pt>
          <cx:pt idx="193">0.062727577240264162</cx:pt>
          <cx:pt idx="194">0.059152424366276164</cx:pt>
          <cx:pt idx="195">0.059384920147565079</cx:pt>
          <cx:pt idx="196">0.056520452119860343</cx:pt>
          <cx:pt idx="197">0.054006465635751108</cx:pt>
        </cx:lvl>
      </cx:numDim>
    </cx:data>
    <cx:data id="2">
      <cx:numDim type="val">
        <cx:f>Indicador_2!$D$4:$D$157</cx:f>
        <cx:lvl ptCount="154" formatCode="Geral">
          <cx:pt idx="0">0.071692509138946384</cx:pt>
          <cx:pt idx="1">0.071635654542485161</cx:pt>
          <cx:pt idx="2">0.074641598324270891</cx:pt>
          <cx:pt idx="3">0.074888903837088169</cx:pt>
          <cx:pt idx="4">0.10141960054772188</cx:pt>
          <cx:pt idx="5">0.078408629289383913</cx:pt>
          <cx:pt idx="6">0.073379007320189371</cx:pt>
          <cx:pt idx="7">0.084006683154569078</cx:pt>
          <cx:pt idx="8">0.07861489431462558</cx:pt>
          <cx:pt idx="9">0.077201601680810958</cx:pt>
          <cx:pt idx="10">0.082597988543907042</cx:pt>
          <cx:pt idx="11">0.089193755427548746</cx:pt>
          <cx:pt idx="12">0.081339040887101449</cx:pt>
          <cx:pt idx="13">0.081476492893923225</cx:pt>
          <cx:pt idx="14">0.091817434816224966</cx:pt>
          <cx:pt idx="15">0.091888736731502177</cx:pt>
          <cx:pt idx="16">0.083476086789840628</cx:pt>
          <cx:pt idx="17">0.087393334134256803</cx:pt>
          <cx:pt idx="18">0.086728390114587023</cx:pt>
          <cx:pt idx="19">0.090188527175890806</cx:pt>
          <cx:pt idx="20">0.077998635472696781</cx:pt>
          <cx:pt idx="21">0.077572534178584701</cx:pt>
          <cx:pt idx="22">0.25690236195724542</cx:pt>
          <cx:pt idx="23">0.25791317802114871</cx:pt>
          <cx:pt idx="24">0.26787381577865971</cx:pt>
          <cx:pt idx="25">0.22300879162117271</cx:pt>
          <cx:pt idx="26">0.26950472946279774</cx:pt>
          <cx:pt idx="27">0.24053269824270232</cx:pt>
          <cx:pt idx="28">0.27553221213760409</cx:pt>
          <cx:pt idx="29">0.25320887232621359</cx:pt>
          <cx:pt idx="30">0.24463418733369241</cx:pt>
          <cx:pt idx="31">0.25673689336787742</cx:pt>
          <cx:pt idx="32">0.25878528212646618</cx:pt>
          <cx:pt idx="33">0.24316926256807134</cx:pt>
          <cx:pt idx="34">0.25166198775203663</cx:pt>
          <cx:pt idx="35">0.24925516246606716</cx:pt>
          <cx:pt idx="36">0.25352689410470447</cx:pt>
          <cx:pt idx="37">0.25218214069257539</cx:pt>
          <cx:pt idx="38">0.25482129702829764</cx:pt>
          <cx:pt idx="39">0.24400893528195186</cx:pt>
          <cx:pt idx="40">0.25311334526578738</cx:pt>
          <cx:pt idx="41">0.25357842948727199</cx:pt>
          <cx:pt idx="42">0.23233763567992649</cx:pt>
          <cx:pt idx="43">0.23228843766816162</cx:pt>
          <cx:pt idx="44">0.089212143993449358</cx:pt>
          <cx:pt idx="45">0.076801784516664168</cx:pt>
          <cx:pt idx="46">0.064124194378820332</cx:pt>
          <cx:pt idx="47">0.056357017918993925</cx:pt>
          <cx:pt idx="48">0.060365879185875534</cx:pt>
          <cx:pt idx="49">0.066158249517775325</cx:pt>
          <cx:pt idx="50">0.06718600866681293</cx:pt>
          <cx:pt idx="51">0.059590106188040143</cx:pt>
          <cx:pt idx="52">0.071455321038654984</cx:pt>
          <cx:pt idx="53">0.073837568247174634</cx:pt>
          <cx:pt idx="54">0.068461884410392249</cx:pt>
          <cx:pt idx="55">0.071749420919120996</cx:pt>
          <cx:pt idx="56">0.073599770786293248</cx:pt>
          <cx:pt idx="57">0.072588980848216814</cx:pt>
          <cx:pt idx="58">0.067894648030655716</cx:pt>
          <cx:pt idx="59">0.066152009972435394</cx:pt>
          <cx:pt idx="60">0.069734466989854152</cx:pt>
          <cx:pt idx="61">0.076735168945605767</cx:pt>
          <cx:pt idx="62">0.074576809392711579</cx:pt>
          <cx:pt idx="63">0.065168694606883265</cx:pt>
          <cx:pt idx="64">0.068520364345531534</cx:pt>
          <cx:pt idx="65">0.05663664979738383</cx:pt>
          <cx:pt idx="66">0.31534088323547971</cx:pt>
          <cx:pt idx="67">0.31357615820952556</cx:pt>
          <cx:pt idx="68">0.30909174274900469</cx:pt>
          <cx:pt idx="69">0.32504076102583479</cx:pt>
          <cx:pt idx="70">0.31431619271791461</cx:pt>
          <cx:pt idx="71">0.31143665473388255</cx:pt>
          <cx:pt idx="72">0.30237704918217306</cx:pt>
          <cx:pt idx="73">0.30101516714228471</cx:pt>
          <cx:pt idx="74">0.30141786798128772</cx:pt>
          <cx:pt idx="75">0.30192575338484839</cx:pt>
          <cx:pt idx="76">0.29535172652583197</cx:pt>
          <cx:pt idx="77">0.3082878393310578</cx:pt>
          <cx:pt idx="78">0.2938194980330332</cx:pt>
          <cx:pt idx="79">0.29830318594114813</cx:pt>
          <cx:pt idx="80">0.29234732703825556</cx:pt>
          <cx:pt idx="81">0.30289313514664762</cx:pt>
          <cx:pt idx="82">0.28878196848308207</cx:pt>
          <cx:pt idx="83">0.30251237729306751</cx:pt>
          <cx:pt idx="84">0.30021869651819449</cx:pt>
          <cx:pt idx="85">0.31386595935597456</cx:pt>
          <cx:pt idx="86">0.34039707032474215</cx:pt>
          <cx:pt idx="87">0.34170313759249765</cx:pt>
          <cx:pt idx="88">0.12462212752182877</cx:pt>
          <cx:pt idx="89">0.10754401548366892</cx:pt>
          <cx:pt idx="90">0.11284883342121008</cx:pt>
          <cx:pt idx="91">0.17182784603429788</cx:pt>
          <cx:pt idx="92">0.10129240837928168</cx:pt>
          <cx:pt idx="93">0.1224901183908889</cx:pt>
          <cx:pt idx="94">0.10942615966872275</cx:pt>
          <cx:pt idx="95">0.1151561713340508</cx:pt>
          <cx:pt idx="96">0.11770082937664421</cx:pt>
          <cx:pt idx="97">0.11929423063504604</cx:pt>
          <cx:pt idx="98">0.12086050512395717</cx:pt>
          <cx:pt idx="99">0.1166710993943328</cx:pt>
          <cx:pt idx="100">0.11758879129014128</cx:pt>
          <cx:pt idx="101">0.11602866445984943</cx:pt>
          <cx:pt idx="102">0.12411640147984448</cx:pt>
          <cx:pt idx="103">0.1179741774829343</cx:pt>
          <cx:pt idx="104">0.12484166864722712</cx:pt>
          <cx:pt idx="105">0.11554461179469741</cx:pt>
          <cx:pt idx="106">0.11171049572617353</cx:pt>
          <cx:pt idx="107">0.10827059369202041</cx:pt>
          <cx:pt idx="108">0.11344143993422327</cx:pt>
          <cx:pt idx="109">0.11221849059505903</cx:pt>
          <cx:pt idx="110">0.053702283738246211</cx:pt>
          <cx:pt idx="111">0.048976418620944637</cx:pt>
          <cx:pt idx="112">0.058436759876697636</cx:pt>
          <cx:pt idx="113">0.048887503459277053</cx:pt>
          <cx:pt idx="114">0.05077836446601109</cx:pt>
          <cx:pt idx="115">0.058903042224783861</cx:pt>
          <cx:pt idx="116">0.059582787338365278</cx:pt>
          <cx:pt idx="117">0.051801837519602351</cx:pt>
          <cx:pt idx="118">0.055021680887850866</cx:pt>
          <cx:pt idx="119">0.045528370452950481</cx:pt>
          <cx:pt idx="120">0.050921140407622009</cx:pt>
          <cx:pt idx="121">0.051799545006560088</cx:pt>
          <cx:pt idx="122">0.053400155326341223</cx:pt>
          <cx:pt idx="123">0.055727806026392129</cx:pt>
          <cx:pt idx="124">0.056423028483297714</cx:pt>
          <cx:pt idx="125">0.052207189932259021</cx:pt>
          <cx:pt idx="126">0.059716858161872853</cx:pt>
          <cx:pt idx="127">0.062657505807224304</cx:pt>
          <cx:pt idx="128">0.061114327138457734</cx:pt>
          <cx:pt idx="129">0.048614183097260892</cx:pt>
          <cx:pt idx="130">0.052070931714131234</cx:pt>
          <cx:pt idx="131">0.054036254676231701</cx:pt>
          <cx:pt idx="132">0.088527690414804211</cx:pt>
          <cx:pt idx="133">0.12355279060556272</cx:pt>
          <cx:pt idx="134">0.11298305547133658</cx:pt>
          <cx:pt idx="135">0.099989176103335339</cx:pt>
          <cx:pt idx="136">0.10232282524039743</cx:pt>
          <cx:pt idx="137">0.12207060760058307</cx:pt>
          <cx:pt idx="138">0.11251677568613244</cx:pt>
          <cx:pt idx="139">0.13522116233523934</cx:pt>
          <cx:pt idx="140">0.13115521906724417</cx:pt>
          <cx:pt idx="141">0.12547558223129229</cx:pt>
          <cx:pt idx="142">0.12302147286182331</cx:pt>
          <cx:pt idx="143">0.11912907735330817</cx:pt>
          <cx:pt idx="144">0.12859075592505295</cx:pt>
          <cx:pt idx="145">0.12661970736440317</cx:pt>
          <cx:pt idx="146">0.11387426604701702</cx:pt>
          <cx:pt idx="147">0.11670261004164613</cx:pt>
          <cx:pt idx="148">0.1186276538998256</cx:pt>
          <cx:pt idx="149">0.11114806674319616</cx:pt>
          <cx:pt idx="150">0.11253793584408817</cx:pt>
          <cx:pt idx="151">0.12031361258469814</cx:pt>
          <cx:pt idx="152">0.11523392252874859</cx:pt>
          <cx:pt idx="153">0.12554449549208144</cx:pt>
        </cx:lvl>
      </cx:numDim>
    </cx:data>
    <cx:data id="3">
      <cx:numDim type="val">
        <cx:f>Indicador_2!$E$4:$E$91</cx:f>
        <cx:lvl ptCount="88" formatCode="Geral">
          <cx:pt idx="0">0.040400217167014529</cx:pt>
          <cx:pt idx="1">0.04317114169191328</cx:pt>
          <cx:pt idx="2">0.045136356391794023</cx:pt>
          <cx:pt idx="3">0.040523912848685451</cx:pt>
          <cx:pt idx="4">0.042510917559495404</cx:pt>
          <cx:pt idx="5">0.045258121620181599</cx:pt>
          <cx:pt idx="6">0.045559102272152631</cx:pt>
          <cx:pt idx="7">0.041044651801130705</cx:pt>
          <cx:pt idx="8">0.04357220098801267</cx:pt>
          <cx:pt idx="9">0.046022657699372201</cx:pt>
          <cx:pt idx="10">0.050987671760446766</cx:pt>
          <cx:pt idx="11">0.051992827809327312</cx:pt>
          <cx:pt idx="12">0.054154894025261448</cx:pt>
          <cx:pt idx="13">0.052548659718691181</cx:pt>
          <cx:pt idx="14">0.054189792736663328</cx:pt>
          <cx:pt idx="15">0.052830511689741767</cx:pt>
          <cx:pt idx="16">0.053251287136495129</cx:pt>
          <cx:pt idx="17">0.054986790570045754</cx:pt>
          <cx:pt idx="18">0.049976508460641993</cx:pt>
          <cx:pt idx="19">0.052995832739873384</cx:pt>
          <cx:pt idx="20">0.045650355802163527</cx:pt>
          <cx:pt idx="21">0.045985889709536473</cx:pt>
          <cx:pt idx="22">0.22158897533324215</cx:pt>
          <cx:pt idx="23">0.21941491577549543</cx:pt>
          <cx:pt idx="24">0.21320087651172479</cx:pt>
          <cx:pt idx="25">0.24095480292332874</cx:pt>
          <cx:pt idx="26">0.16401741013472051</cx:pt>
          <cx:pt idx="27">0.18800949139668291</cx:pt>
          <cx:pt idx="28">0.19543447407866191</cx:pt>
          <cx:pt idx="29">0.18403389776563803</cx:pt>
          <cx:pt idx="30">0.18088800650414968</cx:pt>
          <cx:pt idx="31">0.17854166975385011</cx:pt>
          <cx:pt idx="32">0.18048603358919077</cx:pt>
          <cx:pt idx="33">0.18041869129546126</cx:pt>
          <cx:pt idx="34">0.18695601699525496</cx:pt>
          <cx:pt idx="35">0.19893030648575977</cx:pt>
          <cx:pt idx="36">0.19173504567053937</cx:pt>
          <cx:pt idx="37">0.19014851027059224</cx:pt>
          <cx:pt idx="38">0.19197221440832135</cx:pt>
          <cx:pt idx="39">0.19896245796861906</cx:pt>
          <cx:pt idx="40">0.19914858714026684</cx:pt>
          <cx:pt idx="41">0.19209968407479325</cx:pt>
          <cx:pt idx="42">0.20602103402128294</cx:pt>
          <cx:pt idx="43">0.20971789310037831</cx:pt>
          <cx:pt idx="44">0.16482485613949449</cx:pt>
          <cx:pt idx="45">0.15540887198278966</cx:pt>
          <cx:pt idx="46">0.1758279022843926</cx:pt>
          <cx:pt idx="47">0.17899951762006036</cx:pt>
          <cx:pt idx="48">0.19251279686442849</cx:pt>
          <cx:pt idx="49">0.16444220641341292</cx:pt>
          <cx:pt idx="50">0.17674157610788274</cx:pt>
          <cx:pt idx="51">0.20126083286457655</cx:pt>
          <cx:pt idx="52">0.20356293712319878</cx:pt>
          <cx:pt idx="53">0.19528031495708584</cx:pt>
          <cx:pt idx="54">0.18911683980753674</cx:pt>
          <cx:pt idx="55">0.19295465541852505</cx:pt>
          <cx:pt idx="56">0.1810527000775575</cx:pt>
          <cx:pt idx="57">0.17487080031397617</cx:pt>
          <cx:pt idx="58">0.17618687617510403</cx:pt>
          <cx:pt idx="59">0.18833891179020659</cx:pt>
          <cx:pt idx="60">0.18856052212645388</cx:pt>
          <cx:pt idx="61">0.19829234612789043</cx:pt>
          <cx:pt idx="62">0.20941438635964152</cx:pt>
          <cx:pt idx="63">0.20724029580649378</cx:pt>
          <cx:pt idx="64">0.2102244688342326</cx:pt>
          <cx:pt idx="65">0.20168461246383868</cx:pt>
          <cx:pt idx="66">0.57318595136024886</cx:pt>
          <cx:pt idx="67">0.58200507054980155</cx:pt>
          <cx:pt idx="68">0.56583486481208867</cx:pt>
          <cx:pt idx="69">0.5395217666079255</cx:pt>
          <cx:pt idx="70">0.60095887544135562</cx:pt>
          <cx:pt idx="71">0.60229018056972261</cx:pt>
          <cx:pt idx="72">0.5822648475413027</cx:pt>
          <cx:pt idx="73">0.57366061756865461</cx:pt>
          <cx:pt idx="74">0.57197685538463883</cx:pt>
          <cx:pt idx="75">0.58015535758969183</cx:pt>
          <cx:pt idx="76">0.57940945484282569</cx:pt>
          <cx:pt idx="77">0.5746338254766864</cx:pt>
          <cx:pt idx="78">0.57783638890192612</cx:pt>
          <cx:pt idx="79">0.57365023348157285</cx:pt>
          <cx:pt idx="80">0.57788828541769321</cx:pt>
          <cx:pt idx="81">0.56868206624945949</cx:pt>
          <cx:pt idx="82">0.56621597632872966</cx:pt>
          <cx:pt idx="83">0.54775840533344478</cx:pt>
          <cx:pt idx="84">0.54146051803944972</cx:pt>
          <cx:pt idx="85">0.54766418737883948</cx:pt>
          <cx:pt idx="86">0.53810414134232087</cx:pt>
          <cx:pt idx="87">0.54261160472624648</cx:pt>
        </cx:lvl>
      </cx:numDim>
    </cx:data>
    <cx:data id="4">
      <cx:numDim type="val">
        <cx:f>Indicador_2!$F$4:$F$69</cx:f>
        <cx:lvl ptCount="66" formatCode="Geral">
          <cx:pt idx="0">0.26801386910385211</cx:pt>
          <cx:pt idx="1">0.28204800529270119</cx:pt>
          <cx:pt idx="2">0.32234701416075079</cx:pt>
          <cx:pt idx="3">0.39246710554904113</cx:pt>
          <cx:pt idx="4">0.32056484032110744</cx:pt>
          <cx:pt idx="5">0.40402256828112437</cx:pt>
          <cx:pt idx="6">0.34864224206394123</cx:pt>
          <cx:pt idx="7">0.33770218936213325</cx:pt>
          <cx:pt idx="8">0.33879872444852943</cx:pt>
          <cx:pt idx="9">0.34396939601252102</cx:pt>
          <cx:pt idx="10">0.34024040314296655</cx:pt>
          <cx:pt idx="11">0.3459639526242046</cx:pt>
          <cx:pt idx="12">0.36006545780006838</cx:pt>
          <cx:pt idx="13">0.34966573783347976</cx:pt>
          <cx:pt idx="14">0.37148302378393933</cx:pt>
          <cx:pt idx="15">0.35045963061034646</cx:pt>
          <cx:pt idx="16">0.36074775772413187</cx:pt>
          <cx:pt idx="17">0.36430614362443664</cx:pt>
          <cx:pt idx="18">0.36753990756697036</cx:pt>
          <cx:pt idx="19">0.36080643280580343</cx:pt>
          <cx:pt idx="20">0.35026725956496368</cx:pt>
          <cx:pt idx="21">0.37586911311630244</cx:pt>
          <cx:pt idx="22">0.54214915989150636</cx:pt>
          <cx:pt idx="23">0.52599669014144224</cx:pt>
          <cx:pt idx="24">0.47892622322154366</cx:pt>
          <cx:pt idx="25">0.44362152488994538</cx:pt>
          <cx:pt idx="26">0.47267447194311463</cx:pt>
          <cx:pt idx="27">0.38516284143019175</cx:pt>
          <cx:pt idx="28">0.46058904411758078</cx:pt>
          <cx:pt idx="29">0.42127924552620555</cx:pt>
          <cx:pt idx="30">0.4489900587411641</cx:pt>
          <cx:pt idx="31">0.44272066879760918</cx:pt>
          <cx:pt idx="32">0.43984862474244441</cx:pt>
          <cx:pt idx="33">0.43455132806791991</cx:pt>
          <cx:pt idx="34">0.41770119942423189</cx:pt>
          <cx:pt idx="35">0.42372814537072839</cx:pt>
          <cx:pt idx="36">0.40547175180735678</cx:pt>
          <cx:pt idx="37">0.42764576527166942</cx:pt>
          <cx:pt idx="38">0.40070877614776435</cx:pt>
          <cx:pt idx="39">0.38807563060103939</cx:pt>
          <cx:pt idx="40">0.38259299164475818</cx:pt>
          <cx:pt idx="41">0.39015607285987985</cx:pt>
          <cx:pt idx="42">0.4013600319692327</cx:pt>
          <cx:pt idx="43">0.38513159534520541</cx:pt>
          <cx:pt idx="44">0.18983697100464147</cx:pt>
          <cx:pt idx="45">0.19195530456585674</cx:pt>
          <cx:pt idx="46">0.19872676261770542</cx:pt>
          <cx:pt idx="47">0.16391136956101351</cx:pt>
          <cx:pt idx="48">0.20676068773577777</cx:pt>
          <cx:pt idx="49">0.21081459028868396</cx:pt>
          <cx:pt idx="50">0.19076871381847796</cx:pt>
          <cx:pt idx="51">0.24101856511166117</cx:pt>
          <cx:pt idx="52">0.21221121681030658</cx:pt>
          <cx:pt idx="53">0.21330993518986976</cx:pt>
          <cx:pt idx="54">0.21991097211458921</cx:pt>
          <cx:pt idx="55">0.2194847193078755</cx:pt>
          <cx:pt idx="56">0.22223334277569967</cx:pt>
          <cx:pt idx="57">0.22660611679579185</cx:pt>
          <cx:pt idx="58">0.22304522440870383</cx:pt>
          <cx:pt idx="59">0.22189460411798415</cx:pt>
          <cx:pt idx="60">0.23854346612810384</cx:pt>
          <cx:pt idx="61">0.2476182257745238</cx:pt>
          <cx:pt idx="62">0.2498671007882714</cx:pt>
          <cx:pt idx="63">0.24903749433431657</cx:pt>
          <cx:pt idx="64">0.24837270846580362</cx:pt>
          <cx:pt idx="65">0.2389992915384922</cx:pt>
        </cx:lvl>
      </cx:numDim>
    </cx:data>
  </cx:chartData>
  <cx:chart>
    <cx:plotArea>
      <cx:plotAreaRegion>
        <cx:series layoutId="boxWhisker" uniqueId="{AC8957EB-073C-DA48-8AA4-BC1C838B0048}">
          <cx:tx>
            <cx:txData>
              <cx:f>Indicador_2!$B$3</cx:f>
              <cx:v>Centro-Oeste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Indicador_2!$C$3</cx:f>
              <cx:v>Nordeste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94"/>
            <cx:dataLabelHidden idx="195"/>
            <cx:dataLabelHidden idx="196"/>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Indicador_2!$D$3</cx:f>
              <cx:v>Norte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Indicador_2!$E$3</cx:f>
              <cx:v>Sudeste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Indicador_2!$F$3</cx:f>
              <cx:v>Sul</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Indicador_3!$B$4:$B$91</cx:f>
        <cx:lvl ptCount="88" formatCode="Geral">
          <cx:pt idx="0">0.36418538765815606</cx:pt>
          <cx:pt idx="1">0.39717530920181082</cx:pt>
          <cx:pt idx="2">0.40919547077870083</cx:pt>
          <cx:pt idx="3">0.39848927428255321</cx:pt>
          <cx:pt idx="4">0.4042993286358848</cx:pt>
          <cx:pt idx="5">0.41631566779035778</cx:pt>
          <cx:pt idx="6">0.4263382706159814</cx:pt>
          <cx:pt idx="7">0.42233256516798839</cx:pt>
          <cx:pt idx="8">0.78619774189292335</cx:pt>
          <cx:pt idx="9">0.78758192504415436</cx:pt>
          <cx:pt idx="10">0.78292996684516802</cx:pt>
          <cx:pt idx="11">0.77108186176873839</cx:pt>
          <cx:pt idx="12">0.76372404690841444</cx:pt>
          <cx:pt idx="13">0.74984310394842479</cx:pt>
          <cx:pt idx="14">0.712435815700873</cx:pt>
          <cx:pt idx="15">0.7305330019008206</cx:pt>
          <cx:pt idx="16">0.71646808726034217</cx:pt>
          <cx:pt idx="17">0.69241114597491893</cx:pt>
          <cx:pt idx="18">0.72442111899450323</cx:pt>
          <cx:pt idx="19">0.70669719049621715</cx:pt>
          <cx:pt idx="20">0.72084980029100065</cx:pt>
          <cx:pt idx="21">0.72755874334897308</cx:pt>
          <cx:pt idx="22">0.79573262780667653</cx:pt>
          <cx:pt idx="23">0.79442517546860336</cx:pt>
          <cx:pt idx="24">0.80393597571533748</cx:pt>
          <cx:pt idx="25">0.79219510813596072</cx:pt>
          <cx:pt idx="26">0.7844673626473373</cx:pt>
          <cx:pt idx="27">0.7763616334943032</cx:pt>
          <cx:pt idx="28">0.78543094492207122</cx:pt>
          <cx:pt idx="29">0.77501806792957861</cx:pt>
          <cx:pt idx="30">0.78338901656849802</cx:pt>
          <cx:pt idx="31">0.77487853633851256</cx:pt>
          <cx:pt idx="32">0.75974098419381642</cx:pt>
          <cx:pt idx="33">0.77547174979909239</cx:pt>
          <cx:pt idx="34">0.75014129472117475</cx:pt>
          <cx:pt idx="35">0.75069174297006258</cx:pt>
          <cx:pt idx="36">0.75818496505375021</cx:pt>
          <cx:pt idx="37">0.77809705682013042</cx:pt>
          <cx:pt idx="38">0.79224753225385691</cx:pt>
          <cx:pt idx="39">0.7977560146350503</cx:pt>
          <cx:pt idx="40">0.80181411864601182</cx:pt>
          <cx:pt idx="41">0.79992293699253936</cx:pt>
          <cx:pt idx="42">0.79470994195522182</cx:pt>
          <cx:pt idx="43">0.78602890109562851</cx:pt>
          <cx:pt idx="44">0.80598794467887924</cx:pt>
          <cx:pt idx="45">0.78648810064885544</cx:pt>
          <cx:pt idx="46">0.74770055218392795</cx:pt>
          <cx:pt idx="47">0.73350427519668904</cx:pt>
          <cx:pt idx="48">0.78674774275275161</cx:pt>
          <cx:pt idx="49">0.77350297202986529</cx:pt>
          <cx:pt idx="50">0.7255934773666981</cx:pt>
          <cx:pt idx="51">0.69264482265620098</cx:pt>
          <cx:pt idx="52">0.75809814257432295</cx:pt>
          <cx:pt idx="53">0.76818530607763513</cx:pt>
          <cx:pt idx="54">0.77159380083095874</cx:pt>
          <cx:pt idx="55">0.7817295403549176</cx:pt>
          <cx:pt idx="56">0.78523595424545478</cx:pt>
          <cx:pt idx="57">0.75828476155026714</cx:pt>
          <cx:pt idx="58">0.76089810900428712</cx:pt>
          <cx:pt idx="59">0.75558094498972816</cx:pt>
          <cx:pt idx="60">0.76038922057415992</cx:pt>
          <cx:pt idx="61">0.7399674914827975</cx:pt>
          <cx:pt idx="62">0.75135142212967643</cx:pt>
          <cx:pt idx="63">0.74400614816993105</cx:pt>
          <cx:pt idx="64">0.77234231239439655</cx:pt>
          <cx:pt idx="65">0.70225811007784344</cx:pt>
          <cx:pt idx="66">0.70187486863675985</cx:pt>
          <cx:pt idx="67">0.67804217318841598</cx:pt>
          <cx:pt idx="68">0.67628034098101009</cx:pt>
          <cx:pt idx="69">0.576969288280193</cx:pt>
          <cx:pt idx="70">0.63103132049009492</cx:pt>
          <cx:pt idx="71">0.7112734037333841</cx:pt>
          <cx:pt idx="72">0.70932944878553905</cx:pt>
          <cx:pt idx="73">0.7209305693834247</cx:pt>
          <cx:pt idx="74">0.76293422637514619</cx:pt>
          <cx:pt idx="75">0.77327225250169795</cx:pt>
          <cx:pt idx="76">0.74904155863308164</cx:pt>
          <cx:pt idx="77">0.74460437782767619</cx:pt>
          <cx:pt idx="78">0.73524153542014004</cx:pt>
          <cx:pt idx="79">0.7155669036691239</cx:pt>
          <cx:pt idx="80">0.71938856705205956</cx:pt>
          <cx:pt idx="81">0.71174799872820205</cx:pt>
          <cx:pt idx="82">0.71144749826142006</cx:pt>
          <cx:pt idx="83">0.73054136116603274</cx:pt>
          <cx:pt idx="84">0.73886091194914716</cx:pt>
          <cx:pt idx="85">0.73955299104711969</cx:pt>
          <cx:pt idx="86">0.75593111121204648</cx:pt>
          <cx:pt idx="87">0.71078946987046487</cx:pt>
        </cx:lvl>
      </cx:numDim>
    </cx:data>
    <cx:data id="1">
      <cx:numDim type="val">
        <cx:f>Indicador_3!$C$4:$C$201</cx:f>
        <cx:lvl ptCount="198" formatCode="Geral">
          <cx:pt idx="0">0.49090026665488973</cx:pt>
          <cx:pt idx="1">0.49605787557221687</cx:pt>
          <cx:pt idx="2">0.3950427047723743</cx:pt>
          <cx:pt idx="3">0.43804020737893007</cx:pt>
          <cx:pt idx="4">0.44739085509872423</cx:pt>
          <cx:pt idx="5">0.4362480563246845</cx:pt>
          <cx:pt idx="6">0.42204319152465103</cx:pt>
          <cx:pt idx="7">0.547606219182734</cx:pt>
          <cx:pt idx="8">0.45056159863507367</cx:pt>
          <cx:pt idx="9">0.4583383956537036</cx:pt>
          <cx:pt idx="10">0.43018555481965015</cx:pt>
          <cx:pt idx="11">0.43854362240489381</cx:pt>
          <cx:pt idx="12">0.4375830358906958</cx:pt>
          <cx:pt idx="13">0.41644599155944007</cx:pt>
          <cx:pt idx="14">0.42535621221478731</cx:pt>
          <cx:pt idx="15">0.40424898733905124</cx:pt>
          <cx:pt idx="16">0.4296192482477515</cx:pt>
          <cx:pt idx="17">0.42305283542434163</cx:pt>
          <cx:pt idx="18">0.42527774050108591</cx:pt>
          <cx:pt idx="19">0.42354372338019408</cx:pt>
          <cx:pt idx="20">0.44896509674668328</cx:pt>
          <cx:pt idx="21">0.46701307202229608</cx:pt>
          <cx:pt idx="22">0.6795339656904209</cx:pt>
          <cx:pt idx="23">0.68693585848282168</cx:pt>
          <cx:pt idx="24">0.64892449322017254</cx:pt>
          <cx:pt idx="25">0.63713316954386601</cx:pt>
          <cx:pt idx="26">0.65305456749913959</cx:pt>
          <cx:pt idx="27">0.6843217931471437</cx:pt>
          <cx:pt idx="28">0.67691528083418251</cx:pt>
          <cx:pt idx="29">0.66642509703626773</cx:pt>
          <cx:pt idx="30">0.70516728212087776</cx:pt>
          <cx:pt idx="31">0.69266882302923005</cx:pt>
          <cx:pt idx="32">0.68135704247313178</cx:pt>
          <cx:pt idx="33">0.6661195247716768</cx:pt>
          <cx:pt idx="34">0.66282094247536938</cx:pt>
          <cx:pt idx="35">0.6441476219189799</cx:pt>
          <cx:pt idx="36">0.63034284295980358</cx:pt>
          <cx:pt idx="37">0.64087087845278023</cx:pt>
          <cx:pt idx="38">0.62902921214401653</cx:pt>
          <cx:pt idx="39">0.63749868578915214</cx:pt>
          <cx:pt idx="40">0.66729875218995816</cx:pt>
          <cx:pt idx="41">0.67232263840378803</cx:pt>
          <cx:pt idx="42">0.66313201961295853</cx:pt>
          <cx:pt idx="43">0.63140077433867625</cx:pt>
          <cx:pt idx="44">0.59366159047640332</cx:pt>
          <cx:pt idx="45">0.62457550351606683</cx:pt>
          <cx:pt idx="46">0.60131824445888038</cx:pt>
          <cx:pt idx="47">0.55531993936205404</cx:pt>
          <cx:pt idx="48">0.6140038350045196</cx:pt>
          <cx:pt idx="49">0.59798472327587093</cx:pt>
          <cx:pt idx="50">0.58375211395531201</cx:pt>
          <cx:pt idx="51">0.58820869830630984</cx:pt>
          <cx:pt idx="52">0.60734401339396116</cx:pt>
          <cx:pt idx="53">0.60666122291184532</cx:pt>
          <cx:pt idx="54">0.55825182601951229</cx:pt>
          <cx:pt idx="55">0.57667824305456217</cx:pt>
          <cx:pt idx="56">0.54587276524079564</cx:pt>
          <cx:pt idx="57">0.55121083315968655</cx:pt>
          <cx:pt idx="58">0.56620998296227809</cx:pt>
          <cx:pt idx="59">0.56165695627857182</cx:pt>
          <cx:pt idx="60">0.55115720552745817</cx:pt>
          <cx:pt idx="61">0.59020735665504276</cx:pt>
          <cx:pt idx="62">0.59132706459720918</cx:pt>
          <cx:pt idx="63">0.58933042789908474</cx:pt>
          <cx:pt idx="64">0.59841707810499423</cx:pt>
          <cx:pt idx="65">0.60140243921991754</cx:pt>
          <cx:pt idx="66">0.35114659954276672</cx:pt>
          <cx:pt idx="67">0.37983176101362598</cx:pt>
          <cx:pt idx="68">0.3321966313984912</cx:pt>
          <cx:pt idx="69">0.31408254725410961</cx:pt>
          <cx:pt idx="70">0.31954804521040064</cx:pt>
          <cx:pt idx="71">0.34604366675323983</cx:pt>
          <cx:pt idx="72">0.36513121415992572</cx:pt>
          <cx:pt idx="73">0.34934611269894988</cx:pt>
          <cx:pt idx="74">0.36677592448400814</cx:pt>
          <cx:pt idx="75">0.38060016726016693</cx:pt>
          <cx:pt idx="76">0.37696100519398784</cx:pt>
          <cx:pt idx="77">0.40610593069726292</cx:pt>
          <cx:pt idx="78">0.40383057648233767</cx:pt>
          <cx:pt idx="79">0.37879513416185229</cx:pt>
          <cx:pt idx="80">0.39516930953434448</cx:pt>
          <cx:pt idx="81">0.4258011565789161</cx:pt>
          <cx:pt idx="82">0.40397167885824797</cx:pt>
          <cx:pt idx="83">0.43061642435686132</cx:pt>
          <cx:pt idx="84">0.43997216769158781</cx:pt>
          <cx:pt idx="85">0.43276963215796976</cx:pt>
          <cx:pt idx="86">0.44022619903453908</cx:pt>
          <cx:pt idx="87">0.45320171067162118</cx:pt>
          <cx:pt idx="88">0.46662280248644206</cx:pt>
          <cx:pt idx="89">0.4727538933141876</cx:pt>
          <cx:pt idx="90">0.47253250342321834</cx:pt>
          <cx:pt idx="91">0.4413921131701774</cx:pt>
          <cx:pt idx="92">0.44392686221635436</cx:pt>
          <cx:pt idx="93">0.45892660508286398</cx:pt>
          <cx:pt idx="94">0.47462904188937705</cx:pt>
          <cx:pt idx="95">0.45587538396254207</cx:pt>
          <cx:pt idx="96">0.5077337049617956</cx:pt>
          <cx:pt idx="97">0.47952737999721889</cx:pt>
          <cx:pt idx="98">0.46747521825875354</cx:pt>
          <cx:pt idx="99">0.47575157937089763</cx:pt>
          <cx:pt idx="100">0.45173094723549856</cx:pt>
          <cx:pt idx="101">0.43520748158319356</cx:pt>
          <cx:pt idx="102">0.48169504711186456</cx:pt>
          <cx:pt idx="103">0.48820227865780519</cx:pt>
          <cx:pt idx="104">0.48268655054492704</cx:pt>
          <cx:pt idx="105">0.49859640112330605</cx:pt>
          <cx:pt idx="106">0.50427141484546367</cx:pt>
          <cx:pt idx="107">0.52051107037368916</cx:pt>
          <cx:pt idx="108">0.52402915666349825</cx:pt>
          <cx:pt idx="109">0.50708849953289059</cx:pt>
          <cx:pt idx="110">0.6685422431482545</cx:pt>
          <cx:pt idx="111">0.67684101065738511</cx:pt>
          <cx:pt idx="112">0.65860700743211475</cx:pt>
          <cx:pt idx="113">0.63612327611044339</cx:pt>
          <cx:pt idx="114">0.63320776511170762</cx:pt>
          <cx:pt idx="115">0.64781939917240827</cx:pt>
          <cx:pt idx="116">0.62745526798875795</cx:pt>
          <cx:pt idx="117">0.60047492940345859</cx:pt>
          <cx:pt idx="118">0.63837911833521643</cx:pt>
          <cx:pt idx="119">0.64891083873428412</cx:pt>
          <cx:pt idx="120">0.64364629929052497</cx:pt>
          <cx:pt idx="121">0.65018669187018496</cx:pt>
          <cx:pt idx="122">0.64427913039034879</cx:pt>
          <cx:pt idx="123">0.61820496236146472</cx:pt>
          <cx:pt idx="124">0.64356544183046482</cx:pt>
          <cx:pt idx="125">0.65392873462918522</cx:pt>
          <cx:pt idx="126">0.65668729447961161</cx:pt>
          <cx:pt idx="127">0.65693224766205682</cx:pt>
          <cx:pt idx="128">0.61511613289949707</cx:pt>
          <cx:pt idx="129">0.61422572823598831</cx:pt>
          <cx:pt idx="130">0.6289101041969356</cx:pt>
          <cx:pt idx="131">0.62116551510987916</cx:pt>
          <cx:pt idx="132">0.34766537835327399</cx:pt>
          <cx:pt idx="133">0.37433697928296428</cx:pt>
          <cx:pt idx="134">0.38125343944914653</cx:pt>
          <cx:pt idx="135">0.3670695127420408</cx:pt>
          <cx:pt idx="136">0.35715808728339321</cx:pt>
          <cx:pt idx="137">0.36685119425302121</cx:pt>
          <cx:pt idx="138">0.35817744167798404</cx:pt>
          <cx:pt idx="139">0.35258296226820857</cx:pt>
          <cx:pt idx="140">0.37950250818146358</cx:pt>
          <cx:pt idx="141">0.40905756624169126</cx:pt>
          <cx:pt idx="142">0.36369986258724407</cx:pt>
          <cx:pt idx="143">0.3804254057223711</cx:pt>
          <cx:pt idx="144">0.3879898572067399</cx:pt>
          <cx:pt idx="145">0.38748704155171088</cx:pt>
          <cx:pt idx="146">0.40579712530056711</cx:pt>
          <cx:pt idx="147">0.42464706009570768</cx:pt>
          <cx:pt idx="148">0.40905717265213365</cx:pt>
          <cx:pt idx="149">0.42412820987202121</cx:pt>
          <cx:pt idx="150">0.5058399756416142</cx:pt>
          <cx:pt idx="151">0.5199301934513304</cx:pt>
          <cx:pt idx="152">0.53612616787471734</cx:pt>
          <cx:pt idx="153">0.50745457982606201</cx:pt>
          <cx:pt idx="154">0.46092743601701269</cx:pt>
          <cx:pt idx="155">0.48192106861838835</cx:pt>
          <cx:pt idx="156">0.50049082526933442</cx:pt>
          <cx:pt idx="157">0.48727878340032432</cx:pt>
          <cx:pt idx="158">0.48168416502306571</cx:pt>
          <cx:pt idx="159">0.50576587310132637</cx:pt>
          <cx:pt idx="160">0.4946662795927444</cx:pt>
          <cx:pt idx="161">0.48459071316022945</cx:pt>
          <cx:pt idx="162">0.50468119387956778</cx:pt>
          <cx:pt idx="163">0.50387828077408869</cx:pt>
          <cx:pt idx="164">0.48800712779419064</cx:pt>
          <cx:pt idx="165">0.53108212164261093</cx:pt>
          <cx:pt idx="166">0.50440529336916906</cx:pt>
          <cx:pt idx="167">0.4809259154989371</cx:pt>
          <cx:pt idx="168">0.51945400149039789</cx:pt>
          <cx:pt idx="169">0.5102196404302014</cx:pt>
          <cx:pt idx="170">0.51681256711590318</cx:pt>
          <cx:pt idx="171">0.54127576006191913</cx:pt>
          <cx:pt idx="172">0.55049847207532576</cx:pt>
          <cx:pt idx="173">0.54367896963757911</cx:pt>
          <cx:pt idx="174">0.55187806728580091</cx:pt>
          <cx:pt idx="175">0.5496224131708124</cx:pt>
          <cx:pt idx="176">0.41715009293128713</cx:pt>
          <cx:pt idx="177">0.4139515397968998</cx:pt>
          <cx:pt idx="178">0.4489535035058379</cx:pt>
          <cx:pt idx="179">0.39084273648635692</cx:pt>
          <cx:pt idx="180">0.38271174479646741</cx:pt>
          <cx:pt idx="181">0.45621483634221272</cx:pt>
          <cx:pt idx="182">0.45197547132785931</cx:pt>
          <cx:pt idx="183">0.45109959708360275</cx:pt>
          <cx:pt idx="184">0.50123642923458533</cx:pt>
          <cx:pt idx="185">0.50542701508316024</cx:pt>
          <cx:pt idx="186">0.5003696508254043</cx:pt>
          <cx:pt idx="187">0.50587751648950541</cx:pt>
          <cx:pt idx="188">0.48723036443944107</cx:pt>
          <cx:pt idx="189">0.45916524837181577</cx:pt>
          <cx:pt idx="190">0.42649801411051069</cx:pt>
          <cx:pt idx="191">0.4408401046213879</cx:pt>
          <cx:pt idx="192">0.42436606153258594</cx:pt>
          <cx:pt idx="193">0.44553311731850614</cx:pt>
          <cx:pt idx="194">0.4571069504846389</cx:pt>
          <cx:pt idx="195">0.4711173422342686</cx:pt>
          <cx:pt idx="196">0.48785609240771166</cx:pt>
          <cx:pt idx="197">0.4591830636561498</cx:pt>
        </cx:lvl>
      </cx:numDim>
    </cx:data>
    <cx:data id="2">
      <cx:numDim type="val">
        <cx:f>Indicador_3!$D$4:$D$157</cx:f>
        <cx:lvl ptCount="154" formatCode="Geral">
          <cx:pt idx="0">0.15139274425707352</cx:pt>
          <cx:pt idx="1">0.13691364177858498</cx:pt>
          <cx:pt idx="2">0.21987685652162012</cx:pt>
          <cx:pt idx="3">0.29235920929426212</cx:pt>
          <cx:pt idx="4">0.20086384674340871</cx:pt>
          <cx:pt idx="5">0.22141120869889691</cx:pt>
          <cx:pt idx="6">0.22783738994831626</cx:pt>
          <cx:pt idx="7">0.21527257590394278</cx:pt>
          <cx:pt idx="8">0.2489093328935002</cx:pt>
          <cx:pt idx="9">0.23354825474775789</cx:pt>
          <cx:pt idx="10">0.23647262299048438</cx:pt>
          <cx:pt idx="11">0.20616363369419788</cx:pt>
          <cx:pt idx="12">0.20598136410078743</cx:pt>
          <cx:pt idx="13">0.18286612916908138</cx:pt>
          <cx:pt idx="14">0.20044577733204047</cx:pt>
          <cx:pt idx="15">0.22771556779263888</cx:pt>
          <cx:pt idx="16">0.20806421201400674</cx:pt>
          <cx:pt idx="17">0.25326777647063237</cx:pt>
          <cx:pt idx="18">0.30542169062360658</cx:pt>
          <cx:pt idx="19">0.32174716990427055</cx:pt>
          <cx:pt idx="20">0.27186196095058424</cx:pt>
          <cx:pt idx="21">0.24976160998613334</cx:pt>
          <cx:pt idx="22">0.75573574159425538</cx:pt>
          <cx:pt idx="23">0.76627727402394197</cx:pt>
          <cx:pt idx="24">0.75234768803565055</cx:pt>
          <cx:pt idx="25">0.68072694353161556</cx:pt>
          <cx:pt idx="26">0.69749117472019673</cx:pt>
          <cx:pt idx="27">0.70539275816023905</cx:pt>
          <cx:pt idx="28">0.68117685463655397</cx:pt>
          <cx:pt idx="29">0.72889592825346117</cx:pt>
          <cx:pt idx="30">0.75136080939710004</cx:pt>
          <cx:pt idx="31">0.70626157433465597</cx:pt>
          <cx:pt idx="32">0.68353519436869881</cx:pt>
          <cx:pt idx="33">0.69635827609292889</cx:pt>
          <cx:pt idx="34">0.71129562611395358</cx:pt>
          <cx:pt idx="35">0.69443814583093588</cx:pt>
          <cx:pt idx="36">0.67336669010068617</cx:pt>
          <cx:pt idx="37">0.70071823358585827</cx:pt>
          <cx:pt idx="38">0.70687113271532587</cx:pt>
          <cx:pt idx="39">0.71508895912342407</cx:pt>
          <cx:pt idx="40">0.71745428165834757</cx:pt>
          <cx:pt idx="41">0.70430127912679841</cx:pt>
          <cx:pt idx="42">0.69974816393364125</cx:pt>
          <cx:pt idx="43">0.67077395270827245</cx:pt>
          <cx:pt idx="44">0.085960857861931278</cx:pt>
          <cx:pt idx="45">0.10904726488964835</cx:pt>
          <cx:pt idx="46">0.14702260802319589</cx:pt>
          <cx:pt idx="47">0.17334057461914837</cx:pt>
          <cx:pt idx="48">0.14856502022454637</cx:pt>
          <cx:pt idx="49">0.16572661622586365</cx:pt>
          <cx:pt idx="50">0.17721056101915098</cx:pt>
          <cx:pt idx="51">0.18019813620340885</cx:pt>
          <cx:pt idx="52">0.18813041769155561</cx:pt>
          <cx:pt idx="53">0.19719518349701215</cx:pt>
          <cx:pt idx="54">0.20615543861933824</cx:pt>
          <cx:pt idx="55">0.21334801742143927</cx:pt>
          <cx:pt idx="56">0.20551086524713719</cx:pt>
          <cx:pt idx="57">0.17737119161800446</cx:pt>
          <cx:pt idx="58">0.22595881316445734</cx:pt>
          <cx:pt idx="59">0.22389005402491155</cx:pt>
          <cx:pt idx="60">0.20290131372251322</cx:pt>
          <cx:pt idx="61">0.24284691567086097</cx:pt>
          <cx:pt idx="62">0.31584056679645373</cx:pt>
          <cx:pt idx="63">0.26749206075591403</cx:pt>
          <cx:pt idx="64">0.23670664650425574</cx:pt>
          <cx:pt idx="65">0.19285415260021382</cx:pt>
          <cx:pt idx="66">0.53927416329341082</cx:pt>
          <cx:pt idx="67">0.55977364668879437</cx:pt>
          <cx:pt idx="68">0.50292512269438316</cx:pt>
          <cx:pt idx="69">0.48652994176501291</cx:pt>
          <cx:pt idx="70">0.49709513735149524</cx:pt>
          <cx:pt idx="71">0.49829045234244046</cx:pt>
          <cx:pt idx="72">0.51659841281242258</cx:pt>
          <cx:pt idx="73">0.51342356443123771</cx:pt>
          <cx:pt idx="74">0.58411058165384921</cx:pt>
          <cx:pt idx="75">0.57129477450855215</cx:pt>
          <cx:pt idx="76">0.55771417636231213</cx:pt>
          <cx:pt idx="77">0.57354488714526497</cx:pt>
          <cx:pt idx="78">0.55963670962505441</cx:pt>
          <cx:pt idx="79">0.53329321846916489</cx:pt>
          <cx:pt idx="80">0.54952174021621203</cx:pt>
          <cx:pt idx="81">0.55850613897604684</cx:pt>
          <cx:pt idx="82">0.54410680684660229</cx:pt>
          <cx:pt idx="83">0.58269167879617645</cx:pt>
          <cx:pt idx="84">0.59680416962082761</cx:pt>
          <cx:pt idx="85">0.60459954288839546</cx:pt>
          <cx:pt idx="86">0.60805132054645983</cx:pt>
          <cx:pt idx="87">0.5910520648114671</cx:pt>
          <cx:pt idx="88">0.44552938191765606</cx:pt>
          <cx:pt idx="89">0.42524699375205743</cx:pt>
          <cx:pt idx="90">0.5518989402529727</cx:pt>
          <cx:pt idx="91">0.42281014093766112</cx:pt>
          <cx:pt idx="92">0.50048369570957285</cx:pt>
          <cx:pt idx="93">0.52723057955592134</cx:pt>
          <cx:pt idx="94">0.52702122668988249</cx:pt>
          <cx:pt idx="95">0.51523635910087229</cx:pt>
          <cx:pt idx="96">0.5810029575013641</cx:pt>
          <cx:pt idx="97">0.56688526380992832</cx:pt>
          <cx:pt idx="98">0.56105719925409436</cx:pt>
          <cx:pt idx="99">0.56546741311355897</cx:pt>
          <cx:pt idx="100">0.55910707819719485</cx:pt>
          <cx:pt idx="101">0.55852715914865647</cx:pt>
          <cx:pt idx="102">0.57777619545218017</cx:pt>
          <cx:pt idx="103">0.59815833147468478</cx:pt>
          <cx:pt idx="104">0.58970535850721584</cx:pt>
          <cx:pt idx="105">0.60068054459029085</cx:pt>
          <cx:pt idx="106">0.58521787905477274</cx:pt>
          <cx:pt idx="107">0.58845180838845856</cx:pt>
          <cx:pt idx="108">0.58519765902109899</cx:pt>
          <cx:pt idx="109">0.54080579200577972</cx:pt>
          <cx:pt idx="110">0.18359885631355594</cx:pt>
          <cx:pt idx="111">0.18728587426256321</cx:pt>
          <cx:pt idx="112">0.19910603470768229</cx:pt>
          <cx:pt idx="113">0.23480178245184496</cx:pt>
          <cx:pt idx="114">0.18648486176735099</cx:pt>
          <cx:pt idx="115">0.20942385335838645</cx:pt>
          <cx:pt idx="116">0.19898054793262243</cx:pt>
          <cx:pt idx="117">0.2041925250934099</cx:pt>
          <cx:pt idx="118">0.21231642928279057</cx:pt>
          <cx:pt idx="119">0.21127433106467067</cx:pt>
          <cx:pt idx="120">0.1955502749376187</cx:pt>
          <cx:pt idx="121">0.1937564507599783</cx:pt>
          <cx:pt idx="122">0.21600868306921295</cx:pt>
          <cx:pt idx="123">0.20392089110493861</cx:pt>
          <cx:pt idx="124">0.24357598275998091</cx:pt>
          <cx:pt idx="125">0.25534544524291658</cx:pt>
          <cx:pt idx="126">0.22039580939278489</cx:pt>
          <cx:pt idx="127">0.22448056934203586</cx:pt>
          <cx:pt idx="128">0.25431659137195733</cx:pt>
          <cx:pt idx="129">0.27965846758322815</cx:pt>
          <cx:pt idx="130">0.26595936621460559</cx:pt>
          <cx:pt idx="131">0.25874610682299681</cx:pt>
          <cx:pt idx="132">0.26799127555710162</cx:pt>
          <cx:pt idx="133">0.27710067589505616</cx:pt>
          <cx:pt idx="134">0.25310289712102763</cx:pt>
          <cx:pt idx="135">0.28102879546057791</cx:pt>
          <cx:pt idx="136">0.31512379788137368</cx:pt>
          <cx:pt idx="137">0.33755363351713147</cx:pt>
          <cx:pt idx="138">0.29769018859673269</cx:pt>
          <cx:pt idx="139">0.32053302576955173</cx:pt>
          <cx:pt idx="140">0.37211784757984451</cx:pt>
          <cx:pt idx="141">0.37435472062021663</cx:pt>
          <cx:pt idx="142">0.31621760383299347</cx:pt>
          <cx:pt idx="143">0.32552349232050115</cx:pt>
          <cx:pt idx="144">0.33396463300896778</cx:pt>
          <cx:pt idx="145">0.2949017359030473</cx:pt>
          <cx:pt idx="146">0.31442486945776038</cx:pt>
          <cx:pt idx="147">0.33226731860264275</cx:pt>
          <cx:pt idx="148">0.33136437223912729</cx:pt>
          <cx:pt idx="149">0.36247332660903953</cx:pt>
          <cx:pt idx="150">0.36900550207436039</cx:pt>
          <cx:pt idx="151">0.38021664902281821</cx:pt>
          <cx:pt idx="152">0.39230159103463158</cx:pt>
          <cx:pt idx="153">0.39387910149120925</cx:pt>
        </cx:lvl>
      </cx:numDim>
    </cx:data>
    <cx:data id="3">
      <cx:numDim type="val">
        <cx:f>Indicador_3!$E$4:$E$91</cx:f>
        <cx:lvl ptCount="88" formatCode="Geral">
          <cx:pt idx="0">0.80217647538856662</cx:pt>
          <cx:pt idx="1">0.77875951123353016</cx:pt>
          <cx:pt idx="2">0.79154621962199179</cx:pt>
          <cx:pt idx="3">0.78961308262757401</cx:pt>
          <cx:pt idx="4">0.75992422510855284</cx:pt>
          <cx:pt idx="5">0.79490977582388633</cx:pt>
          <cx:pt idx="6">0.8057376448407243</cx:pt>
          <cx:pt idx="7">0.76625697358951084</cx:pt>
          <cx:pt idx="8">0.78054992718985616</cx:pt>
          <cx:pt idx="9">0.79861188430046681</cx:pt>
          <cx:pt idx="10">0.79694246167012472</cx:pt>
          <cx:pt idx="11">0.79341805620280315</cx:pt>
          <cx:pt idx="12">0.79612968276950069</cx:pt>
          <cx:pt idx="13">0.78310895653298263</cx:pt>
          <cx:pt idx="14">0.78453201294329911</cx:pt>
          <cx:pt idx="15">0.76797880923004391</cx:pt>
          <cx:pt idx="16">0.75820310275552183</cx:pt>
          <cx:pt idx="17">0.74194426642765865</cx:pt>
          <cx:pt idx="18">0.72571267802092054</cx:pt>
          <cx:pt idx="19">0.69396113968437545</cx:pt>
          <cx:pt idx="20">0.72085010126211213</cx:pt>
          <cx:pt idx="21">0.70932993731484451</cx:pt>
          <cx:pt idx="22">0.76704788943252689</cx:pt>
          <cx:pt idx="23">0.78280026589194873</cx:pt>
          <cx:pt idx="24">0.79958649651497815</cx:pt>
          <cx:pt idx="25">0.79274630429147486</cx:pt>
          <cx:pt idx="26">0.78812294716319409</cx:pt>
          <cx:pt idx="27">0.78782339555269498</cx:pt>
          <cx:pt idx="28">0.80500679139509645</cx:pt>
          <cx:pt idx="29">0.76578872810788001</cx:pt>
          <cx:pt idx="30">0.8140337256582868</cx:pt>
          <cx:pt idx="31">0.84042041326750305</cx:pt>
          <cx:pt idx="32">0.84593284698381666</cx:pt>
          <cx:pt idx="33">0.83562420644285718</cx:pt>
          <cx:pt idx="34">0.84449546834634004</cx:pt>
          <cx:pt idx="35">0.81537890722999695</cx:pt>
          <cx:pt idx="36">0.81946674166989253</cx:pt>
          <cx:pt idx="37">0.82244293364864673</cx:pt>
          <cx:pt idx="38">0.81661024355249445</cx:pt>
          <cx:pt idx="39">0.81988504666209527</cx:pt>
          <cx:pt idx="40">0.83592268519474033</cx:pt>
          <cx:pt idx="41">0.82489714912395984</cx:pt>
          <cx:pt idx="42">0.82730454826860844</cx:pt>
          <cx:pt idx="43">0.81441481916741765</cx:pt>
          <cx:pt idx="44">0.85961288755200604</cx:pt>
          <cx:pt idx="45">0.8560108269514447</cx:pt>
          <cx:pt idx="46">0.81132108151405158</cx:pt>
          <cx:pt idx="47">0.81412860573525225</cx:pt>
          <cx:pt idx="48">0.85653793947299861</cx:pt>
          <cx:pt idx="49">0.80680707156438147</cx:pt>
          <cx:pt idx="50">0.79015457805187805</cx:pt>
          <cx:pt idx="51">0.76489949278809344</cx:pt>
          <cx:pt idx="52">0.72799821236092987</cx:pt>
          <cx:pt idx="53">0.74953512601600014</cx:pt>
          <cx:pt idx="54">0.72126524004587733</cx:pt>
          <cx:pt idx="55">0.70453285882101713</cx:pt>
          <cx:pt idx="56">0.73264082142095388</cx:pt>
          <cx:pt idx="57">0.68228663053479566</cx:pt>
          <cx:pt idx="58">0.73555507519241647</cx:pt>
          <cx:pt idx="59">0.72075008872991697</cx:pt>
          <cx:pt idx="60">0.71770948990949124</cx:pt>
          <cx:pt idx="61">0.7176135546435467</cx:pt>
          <cx:pt idx="62">0.75234984101831548</cx:pt>
          <cx:pt idx="63">0.73194922624697301</cx:pt>
          <cx:pt idx="64">0.8103233267830785</cx:pt>
          <cx:pt idx="65">0.76512297917545202</cx:pt>
          <cx:pt idx="66">0.93128721371421086</cx:pt>
          <cx:pt idx="67">0.91985310942176046</cx:pt>
          <cx:pt idx="68">0.92973529128224508</cx:pt>
          <cx:pt idx="69">0.90100133918244996</cx:pt>
          <cx:pt idx="70">0.87876754005368207</cx:pt>
          <cx:pt idx="71">0.89481684949094931</cx:pt>
          <cx:pt idx="72">0.89078437456617188</cx:pt>
          <cx:pt idx="73">0.89508560620212607</cx:pt>
          <cx:pt idx="74">0.88732772874498578</cx:pt>
          <cx:pt idx="75">0.88802419352116935</cx:pt>
          <cx:pt idx="76">0.88563786393807076</cx:pt>
          <cx:pt idx="77">0.88988913008451942</cx:pt>
          <cx:pt idx="78">0.89729077536033242</cx:pt>
          <cx:pt idx="79">0.90160220780363254</cx:pt>
          <cx:pt idx="80">0.90142777770992344</cx:pt>
          <cx:pt idx="81">0.90423597110495668</cx:pt>
          <cx:pt idx="82">0.90269147874348743</cx:pt>
          <cx:pt idx="83">0.90400325862962683</cx:pt>
          <cx:pt idx="84">0.90970891915409824</cx:pt>
          <cx:pt idx="85">0.89915020436283899</cx:pt>
          <cx:pt idx="86">0.89745972092581583</cx:pt>
          <cx:pt idx="87">0.89727785601107746</cx:pt>
        </cx:lvl>
      </cx:numDim>
    </cx:data>
    <cx:data id="4">
      <cx:numDim type="val">
        <cx:f>Indicador_3!$F$4:$F$69</cx:f>
        <cx:lvl ptCount="66" formatCode="Geral">
          <cx:pt idx="0">0.83520338670506233</cx:pt>
          <cx:pt idx="1">0.82722642721475459</cx:pt>
          <cx:pt idx="2">0.78650430186908904</cx:pt>
          <cx:pt idx="3">0.77776318808065259</cx:pt>
          <cx:pt idx="4">0.78209902609224302</cx:pt>
          <cx:pt idx="5">0.78695557045964715</cx:pt>
          <cx:pt idx="6">0.78079020976680424</cx:pt>
          <cx:pt idx="7">0.78596837625401628</cx:pt>
          <cx:pt idx="8">0.80582519160103872</cx:pt>
          <cx:pt idx="9">0.82401341221779745</cx:pt>
          <cx:pt idx="10">0.81693246095183847</cx:pt>
          <cx:pt idx="11">0.81381718403544323</cx:pt>
          <cx:pt idx="12">0.77856339318125556</cx:pt>
          <cx:pt idx="13">0.77760202233711861</cx:pt>
          <cx:pt idx="14">0.79004801887922427</cx:pt>
          <cx:pt idx="15">0.79455948664074849</cx:pt>
          <cx:pt idx="16">0.79292256599060429</cx:pt>
          <cx:pt idx="17">0.80089635303004814</cx:pt>
          <cx:pt idx="18">0.813595825658747</cx:pt>
          <cx:pt idx="19">0.81054474888071759</cx:pt>
          <cx:pt idx="20">0.81766383506961293</cx:pt>
          <cx:pt idx="21">0.81220654399115555</cx:pt>
          <cx:pt idx="22">0.84193021672538038</cx:pt>
          <cx:pt idx="23">0.83862762386263279</cx:pt>
          <cx:pt idx="24">0.82459779907352382</cx:pt>
          <cx:pt idx="25">0.78121292253013475</cx:pt>
          <cx:pt idx="26">0.78882368835539085</cx:pt>
          <cx:pt idx="27">0.80066161214422593</cx:pt>
          <cx:pt idx="28">0.81699537816112866</cx:pt>
          <cx:pt idx="29">0.79728104282974133</cx:pt>
          <cx:pt idx="30">0.84363124892255548</cx:pt>
          <cx:pt idx="31">0.81645140807749161</cx:pt>
          <cx:pt idx="32">0.82299179694638014</cx:pt>
          <cx:pt idx="33">0.80397738954529174</cx:pt>
          <cx:pt idx="34">0.79888061926049303</cx:pt>
          <cx:pt idx="35">0.81242675343043691</cx:pt>
          <cx:pt idx="36">0.81587813476414806</cx:pt>
          <cx:pt idx="37">0.79888481096384845</cx:pt>
          <cx:pt idx="38">0.82860384871852821</cx:pt>
          <cx:pt idx="39">0.83797553171572603</cx:pt>
          <cx:pt idx="40">0.84535610055860833</cx:pt>
          <cx:pt idx="41">0.83636391906323659</cx:pt>
          <cx:pt idx="42">0.85141796788975144</cx:pt>
          <cx:pt idx="43">0.84536803146368444</cx:pt>
          <cx:pt idx="44">0.82218790121379259</cx:pt>
          <cx:pt idx="45">0.80323696166561975</cx:pt>
          <cx:pt idx="46">0.80534068973424777</cx:pt>
          <cx:pt idx="47">0.79285773915240121</cx:pt>
          <cx:pt idx="48">0.798360234189472</cx:pt>
          <cx:pt idx="49">0.80880960974100846</cx:pt>
          <cx:pt idx="50">0.82155389554860658</cx:pt>
          <cx:pt idx="51">0.83233076804759487</cx:pt>
          <cx:pt idx="52">0.85295686379505353</cx:pt>
          <cx:pt idx="53">0.84855357396167941</cx:pt>
          <cx:pt idx="54">0.84559160594004878</cx:pt>
          <cx:pt idx="55">0.82449604000440546</cx:pt>
          <cx:pt idx="56">0.83755124577379914</cx:pt>
          <cx:pt idx="57">0.85406996588921635</cx:pt>
          <cx:pt idx="58">0.8655544374330254</cx:pt>
          <cx:pt idx="59">0.87218898473052586</cx:pt>
          <cx:pt idx="60">0.86885587107116879</cx:pt>
          <cx:pt idx="61">0.87034020468565199</cx:pt>
          <cx:pt idx="62">0.84677855143313296</cx:pt>
          <cx:pt idx="63">0.84622073894851269</cx:pt>
          <cx:pt idx="64">0.84486628416356468</cx:pt>
          <cx:pt idx="65">0.83520482265617046</cx:pt>
        </cx:lvl>
      </cx:numDim>
    </cx:data>
  </cx:chartData>
  <cx:chart>
    <cx:plotArea>
      <cx:plotAreaRegion>
        <cx:series layoutId="boxWhisker" uniqueId="{AC8957EB-073C-DA48-8AA4-BC1C838B0048}">
          <cx:tx>
            <cx:txData>
              <cx:f>Indicador_3!$B$3</cx:f>
              <cx:v>Centro-Oeste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
            <cx:dataLabelHidden idx="5"/>
            <cx:dataLabelHidden idx="8"/>
            <cx:dataLabelHidden idx="9"/>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Indicador_3!$C$3</cx:f>
              <cx:v>Nordeste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Indicador_3!$D$3</cx:f>
              <cx:v>Norte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Indicador_3!$E$3</cx:f>
              <cx:v>Sudeste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Indicador_3!$F$3</cx:f>
              <cx:v>Sul</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5.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Indicador_4!$B$4:$B$91</cx:f>
        <cx:lvl ptCount="88" formatCode="Geral">
          <cx:pt idx="0">0.43786956950624006</cx:pt>
          <cx:pt idx="1">0.43532909585073093</cx:pt>
          <cx:pt idx="2">0.42271265190098728</cx:pt>
          <cx:pt idx="3">0.42976033055042495</cx:pt>
          <cx:pt idx="4">0.41004136347191877</cx:pt>
          <cx:pt idx="5">0.42911688552959804</cx:pt>
          <cx:pt idx="6">0.41455626113852456</cx:pt>
          <cx:pt idx="7">0.41924610177988186</cx:pt>
          <cx:pt idx="8">0.28853476565668756</cx:pt>
          <cx:pt idx="9">0.28448155852847656</cx:pt>
          <cx:pt idx="10">0.29390479231693645</cx:pt>
          <cx:pt idx="11">0.31171926314629167</cx:pt>
          <cx:pt idx="12">0.30176714203473343</cx:pt>
          <cx:pt idx="13">0.31136664432793298</cx:pt>
          <cx:pt idx="14">0.30381504268702741</cx:pt>
          <cx:pt idx="15">0.28708817151323823</cx:pt>
          <cx:pt idx="16">0.27883635476424184</cx:pt>
          <cx:pt idx="17">0.28259389420892056</cx:pt>
          <cx:pt idx="18">0.28411111765978481</cx:pt>
          <cx:pt idx="19">0.28472100248982379</cx:pt>
          <cx:pt idx="20">0.26948448335986619</cx:pt>
          <cx:pt idx="21">0.27534730571862864</cx:pt>
          <cx:pt idx="22">0.25686010198675463</cx:pt>
          <cx:pt idx="23">0.27351984224832537</cx:pt>
          <cx:pt idx="24">0.26748439835922233</cx:pt>
          <cx:pt idx="25">0.27505480635069396</cx:pt>
          <cx:pt idx="26">0.28194912043700288</cx:pt>
          <cx:pt idx="27">0.25055699691151828</cx:pt>
          <cx:pt idx="28">0.27681355677547492</cx:pt>
          <cx:pt idx="29">0.26175873355586365</cx:pt>
          <cx:pt idx="30">0.31529216335307669</cx:pt>
          <cx:pt idx="31">0.30773699060345794</cx:pt>
          <cx:pt idx="32">0.29741306368870052</cx:pt>
          <cx:pt idx="33">0.29157034888813382</cx:pt>
          <cx:pt idx="34">0.30448175465603367</cx:pt>
          <cx:pt idx="35">0.29239614099278888</cx:pt>
          <cx:pt idx="36">0.29031625905233682</cx:pt>
          <cx:pt idx="37">0.31478835464701627</cx:pt>
          <cx:pt idx="38">0.33317748220916987</cx:pt>
          <cx:pt idx="39">0.33056035788452753</cx:pt>
          <cx:pt idx="40">0.32043128385354314</cx:pt>
          <cx:pt idx="41">0.32323872016850846</cx:pt>
          <cx:pt idx="42">0.32283083398113094</cx:pt>
          <cx:pt idx="43">0.31650298001222543</cx:pt>
          <cx:pt idx="44">0.12379110216580677</cx:pt>
          <cx:pt idx="45">0.12371777290160717</cx:pt>
          <cx:pt idx="46">0.1414366360374244</cx:pt>
          <cx:pt idx="47">0.11750258102985164</cx:pt>
          <cx:pt idx="48">0.1192734910384064</cx:pt>
          <cx:pt idx="49">0.14045673220864965</cx:pt>
          <cx:pt idx="50">0.12858704706653351</cx:pt>
          <cx:pt idx="51">0.13069059424764523</cx:pt>
          <cx:pt idx="52">0.16368600636437297</cx:pt>
          <cx:pt idx="53">0.16533379130352271</cx:pt>
          <cx:pt idx="54">0.16678082669189614</cx:pt>
          <cx:pt idx="55">0.16786618676978027</cx:pt>
          <cx:pt idx="56">0.17155343367533252</cx:pt>
          <cx:pt idx="57">0.1722078559738876</cx:pt>
          <cx:pt idx="58">0.1700755418484183</cx:pt>
          <cx:pt idx="59">0.1699929530087177</cx:pt>
          <cx:pt idx="60">0.16999248031473491</cx:pt>
          <cx:pt idx="61">0.1622498587468203</cx:pt>
          <cx:pt idx="62">0.16847116437931803</cx:pt>
          <cx:pt idx="63">0.1669081995433761</cx:pt>
          <cx:pt idx="64">0.17928490346572645</cx:pt>
          <cx:pt idx="65">0.17005029745400357</cx:pt>
          <cx:pt idx="66">0.18147922634119856</cx:pt>
          <cx:pt idx="67">0.16743328899933649</cx:pt>
          <cx:pt idx="68">0.16836631370236599</cx:pt>
          <cx:pt idx="69">0.17045989500361131</cx:pt>
          <cx:pt idx="70">0.18130762575669171</cx:pt>
          <cx:pt idx="71">0.17206759666748184</cx:pt>
          <cx:pt idx="72">0.17233321282896263</cx:pt>
          <cx:pt idx="73">0.18019469508561381</cx:pt>
          <cx:pt idx="74">0.2240873701043456</cx:pt>
          <cx:pt idx="75">0.23494624165336087</cx:pt>
          <cx:pt idx="76">0.23379172426933081</cx:pt>
          <cx:pt idx="77">0.22095696080922494</cx:pt>
          <cx:pt idx="78">0.21313291627840197</cx:pt>
          <cx:pt idx="79">0.21397850538763508</cx:pt>
          <cx:pt idx="80">0.22539719780689521</cx:pt>
          <cx:pt idx="81">0.21800743606940975</cx:pt>
          <cx:pt idx="82">0.20722501729226556</cx:pt>
          <cx:pt idx="83">0.20877296074666959</cx:pt>
          <cx:pt idx="84">0.21139680758330368</cx:pt>
          <cx:pt idx="85">0.20968032238016504</cx:pt>
          <cx:pt idx="86">0.21329660191307925</cx:pt>
          <cx:pt idx="87">0.22213633276751479</cx:pt>
        </cx:lvl>
      </cx:numDim>
    </cx:data>
    <cx:data id="1">
      <cx:numDim type="val">
        <cx:f>Indicador_4!$C$4:$C$201</cx:f>
        <cx:lvl ptCount="198" formatCode="Geral">
          <cx:pt idx="0">0.061226113427592932</cx:pt>
          <cx:pt idx="1">0.068731945132742944</cx:pt>
          <cx:pt idx="2">0.074646017873678083</cx:pt>
          <cx:pt idx="3">0.054454864903529014</cx:pt>
          <cx:pt idx="4">0.052503892640785262</cx:pt>
          <cx:pt idx="5">0.055426846253297232</cx:pt>
          <cx:pt idx="6">0.057457305891367688</cx:pt>
          <cx:pt idx="7">0.076028930845589843</cx:pt>
          <cx:pt idx="8">0.058805558550214382</cx:pt>
          <cx:pt idx="9">0.058608582588186714</cx:pt>
          <cx:pt idx="10">0.060979773613283231</cx:pt>
          <cx:pt idx="11">0.058551781158581666</cx:pt>
          <cx:pt idx="12">0.05971414175878216</cx:pt>
          <cx:pt idx="13">0.059656396292184749</cx:pt>
          <cx:pt idx="14">0.060994166106532549</cx:pt>
          <cx:pt idx="15">0.062544046641635598</cx:pt>
          <cx:pt idx="16">0.060573718548268429</cx:pt>
          <cx:pt idx="17">0.058234648580520056</cx:pt>
          <cx:pt idx="18">0.056289953799216863</cx:pt>
          <cx:pt idx="19">0.057702546911254524</cx:pt>
          <cx:pt idx="20">0.05652459785677505</cx:pt>
          <cx:pt idx="21">0.056950017925148082</cx:pt>
          <cx:pt idx="22">0.29439158209207011</cx:pt>
          <cx:pt idx="23">0.28544634505592914</cx:pt>
          <cx:pt idx="24">0.27959812023183306</cx:pt>
          <cx:pt idx="25">0.28677076124499745</cx:pt>
          <cx:pt idx="26">0.26280292889207857</cx:pt>
          <cx:pt idx="27">0.25162935256120111</cx:pt>
          <cx:pt idx="28">0.24955955218029247</cx:pt>
          <cx:pt idx="29">0.24940949077306596</cx:pt>
          <cx:pt idx="30">0.26757253274623943</cx:pt>
          <cx:pt idx="31">0.2672890231961883</cx:pt>
          <cx:pt idx="32">0.26634001204955593</cx:pt>
          <cx:pt idx="33">0.25824180166539468</cx:pt>
          <cx:pt idx="34">0.25816348912086484</cx:pt>
          <cx:pt idx="35">0.24820116878608872</cx:pt>
          <cx:pt idx="36">0.23525397228640216</cx:pt>
          <cx:pt idx="37">0.23694289941992508</cx:pt>
          <cx:pt idx="38">0.23708922495877374</cx:pt>
          <cx:pt idx="39">0.23397644219271052</cx:pt>
          <cx:pt idx="40">0.22696339157281223</cx:pt>
          <cx:pt idx="41">0.22850145769156346</cx:pt>
          <cx:pt idx="42">0.23995880139864165</cx:pt>
          <cx:pt idx="43">0.25022690131813674</cx:pt>
          <cx:pt idx="44">0.14598387202667593</cx:pt>
          <cx:pt idx="45">0.14702124804638944</cx:pt>
          <cx:pt idx="46">0.14116103000704175</cx:pt>
          <cx:pt idx="47">0.14196078924204109</cx:pt>
          <cx:pt idx="48">0.18110286455367786</cx:pt>
          <cx:pt idx="49">0.14868170666787389</cx:pt>
          <cx:pt idx="50">0.14864434124977483</cx:pt>
          <cx:pt idx="51">0.14332463073301271</cx:pt>
          <cx:pt idx="52">0.14666147973268143</cx:pt>
          <cx:pt idx="53">0.1412682893647631</cx:pt>
          <cx:pt idx="54">0.13182352070669767</cx:pt>
          <cx:pt idx="55">0.1417863144862162</cx:pt>
          <cx:pt idx="56">0.1289455715165673</cx:pt>
          <cx:pt idx="57">0.13083270665823959</cx:pt>
          <cx:pt idx="58">0.13792114063250321</cx:pt>
          <cx:pt idx="59">0.141022550748412</cx:pt>
          <cx:pt idx="60">0.13887915786703436</cx:pt>
          <cx:pt idx="61">0.1348270164079553</cx:pt>
          <cx:pt idx="62">0.13423954283934006</cx:pt>
          <cx:pt idx="63">0.14044380281817592</cx:pt>
          <cx:pt idx="64">0.13649501508058259</cx:pt>
          <cx:pt idx="65">0.13729652670782078</cx:pt>
          <cx:pt idx="66">0.084013703814484017</cx:pt>
          <cx:pt idx="67">0.087016957384594362</cx:pt>
          <cx:pt idx="68">0.082580322896592853</cx:pt>
          <cx:pt idx="69">0.071484354069478034</cx:pt>
          <cx:pt idx="70">0.079092555862326441</cx:pt>
          <cx:pt idx="71">0.083735173940246016</cx:pt>
          <cx:pt idx="72">0.087738679129298586</cx:pt>
          <cx:pt idx="73">0.086500994241384577</cx:pt>
          <cx:pt idx="74">0.088475389250816439</cx:pt>
          <cx:pt idx="75">0.085861408160966324</cx:pt>
          <cx:pt idx="76">0.08823658216383358</cx:pt>
          <cx:pt idx="77">0.090756357641723656</cx:pt>
          <cx:pt idx="78">0.095190725447705529</cx:pt>
          <cx:pt idx="79">0.097593223707168331</cx:pt>
          <cx:pt idx="80">0.097245803892947846</cx:pt>
          <cx:pt idx="81">0.093943928752783457</cx:pt>
          <cx:pt idx="82">0.09721524429348434</cx:pt>
          <cx:pt idx="83">0.095912806181160937</cx:pt>
          <cx:pt idx="84">0.097601840908837084</cx:pt>
          <cx:pt idx="85">0.091776710480109214</cx:pt>
          <cx:pt idx="86">0.092752019051922208</cx:pt>
          <cx:pt idx="87">0.095338993494502006</cx:pt>
          <cx:pt idx="88">0.069328633504449372</cx:pt>
          <cx:pt idx="89">0.069069436647188912</cx:pt>
          <cx:pt idx="90">0.068907576914657348</cx:pt>
          <cx:pt idx="91">0.066257418378534272</cx:pt>
          <cx:pt idx="92">0.069746682040056684</cx:pt>
          <cx:pt idx="93">0.075337662570678698</cx:pt>
          <cx:pt idx="94">0.081880683035264301</cx:pt>
          <cx:pt idx="95">0.072460622922502133</cx:pt>
          <cx:pt idx="96">0.070922099905802616</cx:pt>
          <cx:pt idx="97">0.069442722755714226</cx:pt>
          <cx:pt idx="98">0.068651453189909062</cx:pt>
          <cx:pt idx="99">0.068185764513519279</cx:pt>
          <cx:pt idx="100">0.069446703831910955</cx:pt>
          <cx:pt idx="101">0.068438775643342387</cx:pt>
          <cx:pt idx="102">0.068790177188942564</cx:pt>
          <cx:pt idx="103">0.065358560916825445</cx:pt>
          <cx:pt idx="104">0.066582374856020102</cx:pt>
          <cx:pt idx="105">0.066605363911927104</cx:pt>
          <cx:pt idx="106">0.067843742913949595</cx:pt>
          <cx:pt idx="107">0.067398489858722266</cx:pt>
          <cx:pt idx="108">0.066555766908080349</cx:pt>
          <cx:pt idx="109">0.065455087349536645</cx:pt>
          <cx:pt idx="110">0.16271620472548626</cx:pt>
          <cx:pt idx="111">0.16570981570139454</cx:pt>
          <cx:pt idx="112">0.16501011908883531</cx:pt>
          <cx:pt idx="113">0.18628656217061024</cx:pt>
          <cx:pt idx="114">0.15779561301358896</cx:pt>
          <cx:pt idx="115">0.17303778901559208</cx:pt>
          <cx:pt idx="116">0.16220766170848611</cx:pt>
          <cx:pt idx="117">0.16260740086044095</cx:pt>
          <cx:pt idx="118">0.15671821536782049</cx:pt>
          <cx:pt idx="119">0.15562494332020949</cx:pt>
          <cx:pt idx="120">0.15609950512136511</cx:pt>
          <cx:pt idx="121">0.15248465229135633</cx:pt>
          <cx:pt idx="122">0.1572275977553344</cx:pt>
          <cx:pt idx="123">0.15869381205455341</cx:pt>
          <cx:pt idx="124">0.16527119623822417</cx:pt>
          <cx:pt idx="125">0.17292384515462406</cx:pt>
          <cx:pt idx="126">0.17311004679266728</cx:pt>
          <cx:pt idx="127">0.16942031537862406</cx:pt>
          <cx:pt idx="128">0.17836067087241123</cx:pt>
          <cx:pt idx="129">0.17863513645483331</cx:pt>
          <cx:pt idx="130">0.17335852560439838</cx:pt>
          <cx:pt idx="131">0.16416639397899307</cx:pt>
          <cx:pt idx="132">0.062293456255080884</cx:pt>
          <cx:pt idx="133">0.057086238794350611</cx:pt>
          <cx:pt idx="134">0.053783029748213029</cx:pt>
          <cx:pt idx="135">0.044975507870070187</cx:pt>
          <cx:pt idx="136">0.047103577183446058</cx:pt>
          <cx:pt idx="137">0.054499950975980045</cx:pt>
          <cx:pt idx="138">0.049902801951697405</cx:pt>
          <cx:pt idx="139">0.051377045924275298</cx:pt>
          <cx:pt idx="140">0.051976534024441932</cx:pt>
          <cx:pt idx="141">0.05432200885450264</cx:pt>
          <cx:pt idx="142">0.056752654807685696</cx:pt>
          <cx:pt idx="143">0.056160407283002339</cx:pt>
          <cx:pt idx="144">0.058466973210645604</cx:pt>
          <cx:pt idx="145">0.060515345159670303</cx:pt>
          <cx:pt idx="146">0.063450921792554821</cx:pt>
          <cx:pt idx="147">0.060167308786065299</cx:pt>
          <cx:pt idx="148">0.05850907387543014</cx:pt>
          <cx:pt idx="149">0.058058574255798689</cx:pt>
          <cx:pt idx="150">0.063800228762624159</cx:pt>
          <cx:pt idx="151">0.061891825122637321</cx:pt>
          <cx:pt idx="152">0.063858113312537657</cx:pt>
          <cx:pt idx="153">0.066136286807010364</cx:pt>
          <cx:pt idx="154">0.061215348479369054</cx:pt>
          <cx:pt idx="155">0.063192392874454759</cx:pt>
          <cx:pt idx="156">0.070992350498028323</cx:pt>
          <cx:pt idx="157">0.068382420495980062</cx:pt>
          <cx:pt idx="158">0.07057547623621499</cx:pt>
          <cx:pt idx="159">0.072666537310859883</cx:pt>
          <cx:pt idx="160">0.075224053655354201</cx:pt>
          <cx:pt idx="161">0.070183455292616354</cx:pt>
          <cx:pt idx="162">0.071147483745647139</cx:pt>
          <cx:pt idx="163">0.078065931847735831</cx:pt>
          <cx:pt idx="164">0.079659347980295059</cx:pt>
          <cx:pt idx="165">0.080625324191338332</cx:pt>
          <cx:pt idx="166">0.079496810055960793</cx:pt>
          <cx:pt idx="167">0.077447813199604615</cx:pt>
          <cx:pt idx="168">0.078271192736495576</cx:pt>
          <cx:pt idx="169">0.076122466890759452</cx:pt>
          <cx:pt idx="170">0.072875351578117392</cx:pt>
          <cx:pt idx="171">0.072934050732620118</cx:pt>
          <cx:pt idx="172">0.070308851830438029</cx:pt>
          <cx:pt idx="173">0.068089212354611864</cx:pt>
          <cx:pt idx="174">0.067691153958588476</cx:pt>
          <cx:pt idx="175">0.06461304434729076</cx:pt>
          <cx:pt idx="176">0.058831085674791415</cx:pt>
          <cx:pt idx="177">0.056725620362955267</cx:pt>
          <cx:pt idx="178">0.063321432741120343</cx:pt>
          <cx:pt idx="179">0.054232903124949071</cx:pt>
          <cx:pt idx="180">0.053042221043079485</cx:pt>
          <cx:pt idx="181">0.058852835164069597</cx:pt>
          <cx:pt idx="182">0.060654890653453884</cx:pt>
          <cx:pt idx="183">0.060998477117413769</cx:pt>
          <cx:pt idx="184">0.061032038546577926</cx:pt>
          <cx:pt idx="185">0.063964987498268511</cx:pt>
          <cx:pt idx="186">0.064741884226438562</cx:pt>
          <cx:pt idx="187">0.067084583061028491</cx:pt>
          <cx:pt idx="188">0.063253373640390326</cx:pt>
          <cx:pt idx="189">0.064849705478056546</cx:pt>
          <cx:pt idx="190">0.058637304419903773</cx:pt>
          <cx:pt idx="191">0.05990367639085295</cx:pt>
          <cx:pt idx="192">0.060812094958840032</cx:pt>
          <cx:pt idx="193">0.058491054755278646</cx:pt>
          <cx:pt idx="194">0.055171763701077417</cx:pt>
          <cx:pt idx="195">0.056518580164908863</cx:pt>
          <cx:pt idx="196">0.053180138523040987</cx:pt>
          <cx:pt idx="197">0.050365531934850258</cx:pt>
        </cx:lvl>
      </cx:numDim>
    </cx:data>
    <cx:data id="2">
      <cx:numDim type="val">
        <cx:f>Indicador_4!$D$4:$D$157</cx:f>
        <cx:lvl ptCount="154" formatCode="Geral">
          <cx:pt idx="0">0.07551404088081537</cx:pt>
          <cx:pt idx="1">0.074331285045593304</cx:pt>
          <cx:pt idx="2">0.073139102882230161</cx:pt>
          <cx:pt idx="3">0.073504169669689035</cx:pt>
          <cx:pt idx="4">0.085325644476607149</cx:pt>
          <cx:pt idx="5">0.074738052004579641</cx:pt>
          <cx:pt idx="6">0.07048973768252402</cx:pt>
          <cx:pt idx="7">0.079057081688784656</cx:pt>
          <cx:pt idx="8">0.075318580201449964</cx:pt>
          <cx:pt idx="9">0.074024937470132723</cx:pt>
          <cx:pt idx="10">0.079071540159465256</cx:pt>
          <cx:pt idx="11">0.081960058573531336</cx:pt>
          <cx:pt idx="12">0.076798702628549931</cx:pt>
          <cx:pt idx="13">0.078553514550051079</cx:pt>
          <cx:pt idx="14">0.085235110104070422</cx:pt>
          <cx:pt idx="15">0.082395377096667499</cx:pt>
          <cx:pt idx="16">0.07727340085467585</cx:pt>
          <cx:pt idx="17">0.078000545708750826</cx:pt>
          <cx:pt idx="18">0.079469391079096979</cx:pt>
          <cx:pt idx="19">0.083269094321915066</cx:pt>
          <cx:pt idx="20">0.072337339951284663</cx:pt>
          <cx:pt idx="21">0.074128739668792715</cx:pt>
          <cx:pt idx="22">0.2584616702642033</cx:pt>
          <cx:pt idx="23">0.27603441010682261</cx:pt>
          <cx:pt idx="24">0.27773088549006419</cx:pt>
          <cx:pt idx="25">0.22619028908130212</cx:pt>
          <cx:pt idx="26">0.25356704296344285</cx:pt>
          <cx:pt idx="27">0.23941155974879186</cx:pt>
          <cx:pt idx="28">0.26012117298599563</cx:pt>
          <cx:pt idx="29">0.24974323379394467</cx:pt>
          <cx:pt idx="30">0.24373244307977462</cx:pt>
          <cx:pt idx="31">0.25383625454132747</cx:pt>
          <cx:pt idx="32">0.25278502694125643</cx:pt>
          <cx:pt idx="33">0.24156702511260147</cx:pt>
          <cx:pt idx="34">0.24917954105875012</cx:pt>
          <cx:pt idx="35">0.24634097151926265</cx:pt>
          <cx:pt idx="36">0.24455413102339196</cx:pt>
          <cx:pt idx="37">0.25066641543590795</cx:pt>
          <cx:pt idx="38">0.24959932511685828</cx:pt>
          <cx:pt idx="39">0.24106875795989399</cx:pt>
          <cx:pt idx="40">0.24624895883900458</cx:pt>
          <cx:pt idx="41">0.24303407323057474</cx:pt>
          <cx:pt idx="42">0.22526986732836077</cx:pt>
          <cx:pt idx="43">0.22240781429655762</cx:pt>
          <cx:pt idx="44">0.10114174499151904</cx:pt>
          <cx:pt idx="45">0.083657318262483626</cx:pt>
          <cx:pt idx="46">0.065632498114180982</cx:pt>
          <cx:pt idx="47">0.058865243759997382</cx:pt>
          <cx:pt idx="48">0.062412624283842609</cx:pt>
          <cx:pt idx="49">0.064486892111672078</cx:pt>
          <cx:pt idx="50">0.065595768754055317</cx:pt>
          <cx:pt idx="51">0.061392295897136899</cx:pt>
          <cx:pt idx="52">0.065837621920140657</cx:pt>
          <cx:pt idx="53">0.06942057450671138</cx:pt>
          <cx:pt idx="54">0.066411151053653722</cx:pt>
          <cx:pt idx="55">0.068380914482100652</cx:pt>
          <cx:pt idx="56">0.068805378888048579</cx:pt>
          <cx:pt idx="57">0.067320708395313122</cx:pt>
          <cx:pt idx="58">0.063347586327886993</cx:pt>
          <cx:pt idx="59">0.061998651071262609</cx:pt>
          <cx:pt idx="60">0.064320509006397089</cx:pt>
          <cx:pt idx="61">0.064933474900612936</cx:pt>
          <cx:pt idx="62">0.067374369769569481</cx:pt>
          <cx:pt idx="63">0.059497949953815882</cx:pt>
          <cx:pt idx="64">0.059496379219768622</cx:pt>
          <cx:pt idx="65">0.053978773720049805</cx:pt>
          <cx:pt idx="66">0.30622824108125268</cx:pt>
          <cx:pt idx="67">0.30036383423666296</cx:pt>
          <cx:pt idx="68">0.30380728138433954</cx:pt>
          <cx:pt idx="69">0.31660876300386598</cx:pt>
          <cx:pt idx="70">0.30564641427191619</cx:pt>
          <cx:pt idx="71">0.29761696730081777</cx:pt>
          <cx:pt idx="72">0.2974940165510046</cx:pt>
          <cx:pt idx="73">0.29348655532273765</cx:pt>
          <cx:pt idx="74">0.29628973698475103</cx:pt>
          <cx:pt idx="75">0.29521779914912227</cx:pt>
          <cx:pt idx="76">0.28754736538497183</cx:pt>
          <cx:pt idx="77">0.29958525972549621</cx:pt>
          <cx:pt idx="78">0.28709843267287782</cx:pt>
          <cx:pt idx="79">0.28924921746433185</cx:pt>
          <cx:pt idx="80">0.29216163759577135</cx:pt>
          <cx:pt idx="81">0.2952634001815147</cx:pt>
          <cx:pt idx="82">0.28504549021229003</cx:pt>
          <cx:pt idx="83">0.29984331862006552</cx:pt>
          <cx:pt idx="84">0.29628990795982113</cx:pt>
          <cx:pt idx="85">0.30745850330879076</cx:pt>
          <cx:pt idx="86">0.33195122223189111</cx:pt>
          <cx:pt idx="87">0.32631740019802807</cx:pt>
          <cx:pt idx="88">0.1121018799920467</cx:pt>
          <cx:pt idx="89">0.10323081359342706</cx:pt>
          <cx:pt idx="90">0.11141107935457886</cx:pt>
          <cx:pt idx="91">0.14372317588789302</cx:pt>
          <cx:pt idx="92">0.10299480181233581</cx:pt>
          <cx:pt idx="93">0.11567292284768073</cx:pt>
          <cx:pt idx="94">0.10681365227175305</cx:pt>
          <cx:pt idx="95">0.10874924941532875</cx:pt>
          <cx:pt idx="96">0.11585570314065477</cx:pt>
          <cx:pt idx="97">0.11633268980915853</cx:pt>
          <cx:pt idx="98">0.11722595400484237</cx:pt>
          <cx:pt idx="99">0.11377047850724509</cx:pt>
          <cx:pt idx="100">0.1136629604136138</cx:pt>
          <cx:pt idx="101">0.1135429991481946</cx:pt>
          <cx:pt idx="102">0.11809764080065729</cx:pt>
          <cx:pt idx="103">0.11553635580087729</cx:pt>
          <cx:pt idx="104">0.12025567223101548</cx:pt>
          <cx:pt idx="105">0.11043634079423467</cx:pt>
          <cx:pt idx="106">0.10529895217070051</cx:pt>
          <cx:pt idx="107">0.10482450344989075</cx:pt>
          <cx:pt idx="108">0.10804705862241687</cx:pt>
          <cx:pt idx="109">0.10773560055288474</cx:pt>
          <cx:pt idx="110">0.052232083162804102</cx:pt>
          <cx:pt idx="111">0.050529272003305536</cx:pt>
          <cx:pt idx="112">0.058613945665640946</cx:pt>
          <cx:pt idx="113">0.051074954439093226</cx:pt>
          <cx:pt idx="114">0.051442072257362886</cx:pt>
          <cx:pt idx="115">0.056573182599029992</cx:pt>
          <cx:pt idx="116">0.055094758136314932</cx:pt>
          <cx:pt idx="117">0.050830903450332809</cx:pt>
          <cx:pt idx="118">0.050359841372595165</cx:pt>
          <cx:pt idx="119">0.044613984024737263</cx:pt>
          <cx:pt idx="120">0.048025600965861628</cx:pt>
          <cx:pt idx="121">0.049763731572494758</cx:pt>
          <cx:pt idx="122">0.049940736997942915</cx:pt>
          <cx:pt idx="123">0.052823438205382191</cx:pt>
          <cx:pt idx="124">0.052066381900814612</cx:pt>
          <cx:pt idx="125">0.050201494657120468</cx:pt>
          <cx:pt idx="126">0.056582563740890476</cx:pt>
          <cx:pt idx="127">0.052610215310657613</cx:pt>
          <cx:pt idx="128">0.051389715557612542</cx:pt>
          <cx:pt idx="129">0.04462379708885264</cx:pt>
          <cx:pt idx="130">0.046264764895096233</cx:pt>
          <cx:pt idx="131">0.048743753875151515</cx:pt>
          <cx:pt idx="132">0.094320339627358724</cx:pt>
          <cx:pt idx="133">0.11185306675170482</cx:pt>
          <cx:pt idx="134">0.1096652071089653</cx:pt>
          <cx:pt idx="135">0.10204925013002202</cx:pt>
          <cx:pt idx="136">0.10566319869678263</cx:pt>
          <cx:pt idx="137">0.12057328117296548</cx:pt>
          <cx:pt idx="138">0.11399513546058054</cx:pt>
          <cx:pt idx="139">0.1260390585202521</cx:pt>
          <cx:pt idx="140">0.1231365903240591</cx:pt>
          <cx:pt idx="141">0.11917023672719118</cx:pt>
          <cx:pt idx="142">0.11997291848714749</cx:pt>
          <cx:pt idx="143">0.11673792153461371</cx:pt>
          <cx:pt idx="144">0.12297353109003728</cx:pt>
          <cx:pt idx="145">0.11670737491647765</cx:pt>
          <cx:pt idx="146">0.10811633636389638</cx:pt>
          <cx:pt idx="147">0.10949844855881657</cx:pt>
          <cx:pt idx="148">0.11020009195148885</cx:pt>
          <cx:pt idx="149">0.10172295570820448</cx:pt>
          <cx:pt idx="150">0.10329841675496858</cx:pt>
          <cx:pt idx="151">0.1073834956121844</cx:pt>
          <cx:pt idx="152">0.10619975887523597</cx:pt>
          <cx:pt idx="153">0.113682782278807</cx:pt>
        </cx:lvl>
      </cx:numDim>
    </cx:data>
    <cx:data id="3">
      <cx:numDim type="val">
        <cx:f>Indicador_4!$E$4:$E$91</cx:f>
        <cx:lvl ptCount="88" formatCode="Geral">
          <cx:pt idx="0">0.042738831289348994</cx:pt>
          <cx:pt idx="1">0.044265771692702072</cx:pt>
          <cx:pt idx="2">0.045604740413771119</cx:pt>
          <cx:pt idx="3">0.040668523980491672</cx:pt>
          <cx:pt idx="4">0.041456970390046172</cx:pt>
          <cx:pt idx="5">0.044114969772115702</cx:pt>
          <cx:pt idx="6">0.044791029305569982</cx:pt>
          <cx:pt idx="7">0.041201318032018278</cx:pt>
          <cx:pt idx="8">0.043726558453579013</cx:pt>
          <cx:pt idx="9">0.046864638715249179</cx:pt>
          <cx:pt idx="10">0.051615057777268852</cx:pt>
          <cx:pt idx="11">0.052034646328833534</cx:pt>
          <cx:pt idx="12">0.053949012541617894</cx:pt>
          <cx:pt idx="13">0.053616768691752408</cx:pt>
          <cx:pt idx="14">0.052817166078792666</cx:pt>
          <cx:pt idx="15">0.050721317579577332</cx:pt>
          <cx:pt idx="16">0.052757284856075531</cx:pt>
          <cx:pt idx="17">0.054366289620243563</cx:pt>
          <cx:pt idx="18">0.048753839671677103</cx:pt>
          <cx:pt idx="19">0.051159028831228241</cx:pt>
          <cx:pt idx="20">0.046506580872547137</cx:pt>
          <cx:pt idx="21">0.045951395790011396</cx:pt>
          <cx:pt idx="22">0.19791882480699746</cx:pt>
          <cx:pt idx="23">0.19634947813169457</cx:pt>
          <cx:pt idx="24">0.19703620542521552</cx:pt>
          <cx:pt idx="25">0.20519231036429542</cx:pt>
          <cx:pt idx="26">0.16835573221512795</cx:pt>
          <cx:pt idx="27">0.17881098673239404</cx:pt>
          <cx:pt idx="28">0.18703624824715237</cx:pt>
          <cx:pt idx="29">0.18261285744206621</cx:pt>
          <cx:pt idx="30">0.17946812208198656</cx:pt>
          <cx:pt idx="31">0.17615131791846039</cx:pt>
          <cx:pt idx="32">0.18001431601205242</cx:pt>
          <cx:pt idx="33">0.1796718027383602</cx:pt>
          <cx:pt idx="34">0.18449149085068425</cx:pt>
          <cx:pt idx="35">0.19505119051472997</cx:pt>
          <cx:pt idx="36">0.18981222062999986</cx:pt>
          <cx:pt idx="37">0.18803683971310842</cx:pt>
          <cx:pt idx="38">0.18918093759427682</cx:pt>
          <cx:pt idx="39">0.19270459050562699</cx:pt>
          <cx:pt idx="40">0.19075866359220323</cx:pt>
          <cx:pt idx="41">0.18930904509141566</cx:pt>
          <cx:pt idx="42">0.19947632886026326</cx:pt>
          <cx:pt idx="43">0.20701250745837782</cx:pt>
          <cx:pt idx="44">0.15993657760735702</cx:pt>
          <cx:pt idx="45">0.15532598441843637</cx:pt>
          <cx:pt idx="46">0.16163605169895573</cx:pt>
          <cx:pt idx="47">0.17138779152419598</cx:pt>
          <cx:pt idx="48">0.17896573139269281</cx:pt>
          <cx:pt idx="49">0.16782781639312266</cx:pt>
          <cx:pt idx="50">0.17739678231383096</cx:pt>
          <cx:pt idx="51">0.1912299514377645</cx:pt>
          <cx:pt idx="52">0.20145906188976245</cx:pt>
          <cx:pt idx="53">0.19681351973970657</cx:pt>
          <cx:pt idx="54">0.18950918723471238</cx:pt>
          <cx:pt idx="55">0.19257586417620132</cx:pt>
          <cx:pt idx="56">0.18173408012701048</cx:pt>
          <cx:pt idx="57">0.17867909823144029</cx:pt>
          <cx:pt idx="58">0.17798429870601706</cx:pt>
          <cx:pt idx="59">0.1877218723524727</cx:pt>
          <cx:pt idx="60">0.18885182104489143</cx:pt>
          <cx:pt idx="61">0.19279205860001589</cx:pt>
          <cx:pt idx="62">0.20520816763965197</cx:pt>
          <cx:pt idx="63">0.19936791340995175</cx:pt>
          <cx:pt idx="64">0.20186976932282852</cx:pt>
          <cx:pt idx="65">0.18893893523728589</cx:pt>
          <cx:pt idx="66">0.5994057662962966</cx:pt>
          <cx:pt idx="67">0.60405876575716699</cx:pt>
          <cx:pt idx="68">0.59572300246205767</cx:pt>
          <cx:pt idx="69">0.58046957036834979</cx:pt>
          <cx:pt idx="70">0.6065302721431558</cx:pt>
          <cx:pt idx="71">0.60507711059517533</cx:pt>
          <cx:pt idx="72">0.58691676277600091</cx:pt>
          <cx:pt idx="73">0.58109615776659695</cx:pt>
          <cx:pt idx="74">0.57189719809198825</cx:pt>
          <cx:pt idx="75">0.57698724655990241</cx:pt>
          <cx:pt idx="76">0.57565827945047121</cx:pt>
          <cx:pt idx="77">0.57294965250412699</cx:pt>
          <cx:pt idx="78">0.57666814269070588</cx:pt>
          <cx:pt idx="79">0.5692215601808045</cx:pt>
          <cx:pt idx="80">0.57597273879867805</cx:pt>
          <cx:pt idx="81">0.57021410097638681</cx:pt>
          <cx:pt idx="82">0.56561565363772448</cx:pt>
          <cx:pt idx="83">0.55474290001606164</cx:pt>
          <cx:pt idx="84">0.55007940286684476</cx:pt>
          <cx:pt idx="85">0.55488221332924992</cx:pt>
          <cx:pt idx="86">0.54699149127399993</cx:pt>
          <cx:pt idx="87">0.55245989438547038</cx:pt>
        </cx:lvl>
      </cx:numDim>
    </cx:data>
    <cx:data id="4">
      <cx:numDim type="val">
        <cx:f>Indicador_4!$F$4:$F$69</cx:f>
        <cx:lvl ptCount="66" formatCode="Geral">
          <cx:pt idx="0">0.30305260758107744</cx:pt>
          <cx:pt idx="1">0.31034934443210954</cx:pt>
          <cx:pt idx="2">0.3390631669428481</cx:pt>
          <cx:pt idx="3">0.36849429871732187</cx:pt>
          <cx:pt idx="4">0.33504322047115132</cx:pt>
          <cx:pt idx="5">0.37642013629595195</cx:pt>
          <cx:pt idx="6">0.34556993767041511</cx:pt>
          <cx:pt idx="7">0.34072530735620282</cx:pt>
          <cx:pt idx="8">0.33816142455964632</cx:pt>
          <cx:pt idx="9">0.34482639974914508</cx:pt>
          <cx:pt idx="10">0.33982473920545536</cx:pt>
          <cx:pt idx="11">0.34254330366032193</cx:pt>
          <cx:pt idx="12">0.3562007906259258</cx:pt>
          <cx:pt idx="13">0.34892240430837168</cx:pt>
          <cx:pt idx="14">0.36782785276570595</cx:pt>
          <cx:pt idx="15">0.35181867407906142</cx:pt>
          <cx:pt idx="16">0.36048385781756531</cx:pt>
          <cx:pt idx="17">0.36466087253510643</cx:pt>
          <cx:pt idx="18">0.36817102123660317</cx:pt>
          <cx:pt idx="19">0.36377382016243542</cx:pt>
          <cx:pt idx="20">0.36080228725624569</cx:pt>
          <cx:pt idx="21">0.37835678129196926</cx:pt>
          <cx:pt idx="22">0.4963466453019309</cx:pt>
          <cx:pt idx="23">0.48830147563865922</cx:pt>
          <cx:pt idx="24">0.45543571766669511</cx:pt>
          <cx:pt idx="25">0.44566689689852901</cx:pt>
          <cx:pt idx="26">0.45361913652873181</cx:pt>
          <cx:pt idx="27">0.40822629806236255</cx:pt>
          <cx:pt idx="28">0.4478795040111444</cx:pt>
          <cx:pt idx="29">0.42532611933959119</cx:pt>
          <cx:pt idx="30">0.44036474212428117</cx:pt>
          <cx:pt idx="31">0.43231081759467671</cx:pt>
          <cx:pt idx="32">0.43231922791484056</cx:pt>
          <cx:pt idx="33">0.42946382786097254</cx:pt>
          <cx:pt idx="34">0.41111406393043404</cx:pt>
          <cx:pt idx="35">0.41532314144720128</cx:pt>
          <cx:pt idx="36">0.40188351819639656</cx:pt>
          <cx:pt idx="37">0.41783997893778307</cx:pt>
          <cx:pt idx="38">0.39401207672978411</cx:pt>
          <cx:pt idx="39">0.38518370388144108</cx:pt>
          <cx:pt idx="40">0.37680916247420632</cx:pt>
          <cx:pt idx="41">0.37972195844649687</cx:pt>
          <cx:pt idx="42">0.38665485596684901</cx:pt>
          <cx:pt idx="43">0.37796792020423442</cx:pt>
          <cx:pt idx="44">0.20060074711699161</cx:pt>
          <cx:pt idx="45">0.20134917992923135</cx:pt>
          <cx:pt idx="46">0.20550111539045668</cx:pt>
          <cx:pt idx="47">0.17878156754874241</cx:pt>
          <cx:pt idx="48">0.20119132601419842</cx:pt>
          <cx:pt idx="49">0.20607711540895762</cx:pt>
          <cx:pt idx="50">0.19791316313291618</cx:pt>
          <cx:pt idx="51">0.2253039995135217</cx:pt>
          <cx:pt idx="52">0.21394144010234742</cx:pt>
          <cx:pt idx="53">0.21573678677922542</cx:pt>
          <cx:pt idx="54">0.22057408022333119</cx:pt>
          <cx:pt idx="55">0.2212031912338967</cx:pt>
          <cx:pt idx="56">0.22514759215734581</cx:pt>
          <cx:pt idx="57">0.22746880059776181</cx:pt>
          <cx:pt idx="58">0.22249128242056837</cx:pt>
          <cx:pt idx="59">0.22299807507965774</cx:pt>
          <cx:pt idx="60">0.23763411482489383</cx:pt>
          <cx:pt idx="61">0.23879510436419127</cx:pt>
          <cx:pt idx="62">0.24450309203308881</cx:pt>
          <cx:pt idx="63">0.24592243608133463</cx:pt>
          <cx:pt idx="64">0.24240935880397735</cx:pt>
          <cx:pt idx="65">0.23375834844837878</cx:pt>
        </cx:lvl>
      </cx:numDim>
    </cx:data>
  </cx:chartData>
  <cx:chart>
    <cx:plotArea>
      <cx:plotAreaRegion>
        <cx:series layoutId="boxWhisker" uniqueId="{AC8957EB-073C-DA48-8AA4-BC1C838B0048}">
          <cx:tx>
            <cx:txData>
              <cx:f>Indicador_4!$B$3</cx:f>
              <cx:v>Centro-Oeste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Indicador_4!$C$3</cx:f>
              <cx:v>Nordeste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93"/>
            <cx:dataLabelHidden idx="194"/>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Indicador_4!$D$3</cx:f>
              <cx:v>Norte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Indicador_4!$E$3</cx:f>
              <cx:v>Sudeste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Indicador_4!$F$3</cx:f>
              <cx:v>Sul</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6.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Gini!$B$4:$B$91</cx:f>
        <cx:lvl ptCount="88" formatCode="Geral">
          <cx:pt idx="0">0.58070907270000005</cx:pt>
          <cx:pt idx="1">0.59284347250000002</cx:pt>
          <cx:pt idx="2">0.59197318060000004</cx:pt>
          <cx:pt idx="3">0.62227907169999996</cx:pt>
          <cx:pt idx="4">0.62762970309999999</cx:pt>
          <cx:pt idx="5">0.63</cx:pt>
          <cx:pt idx="6">0.62429098270000005</cx:pt>
          <cx:pt idx="7">0.62873376140000004</cx:pt>
          <cx:pt idx="8">0.63376367420000002</cx:pt>
          <cx:pt idx="9">0.62908789440000001</cx:pt>
          <cx:pt idx="10">0.60813137110000004</cx:pt>
          <cx:pt idx="11">0.60742885069999997</cx:pt>
          <cx:pt idx="12">0.61395666930000004</cx:pt>
          <cx:pt idx="13">0.62148500659999995</cx:pt>
          <cx:pt idx="14">0.62391254920000006</cx:pt>
          <cx:pt idx="15">0.63</cx:pt>
          <cx:pt idx="16">0.60844749170000001</cx:pt>
          <cx:pt idx="17">0.58689415369999998</cx:pt>
          <cx:pt idx="18">0.5777569266</cx:pt>
          <cx:pt idx="19">0.58242437849999995</cx:pt>
          <cx:pt idx="22">0.5561293477</cx:pt>
          <cx:pt idx="23">0.58440541219999997</cx:pt>
          <cx:pt idx="24">0.54970954540000005</cx:pt>
          <cx:pt idx="25">0.57746097789999995</cx:pt>
          <cx:pt idx="26">0.55947394989999999</cx:pt>
          <cx:pt idx="27">0.59999999999999998</cx:pt>
          <cx:pt idx="28">0.56676568940000005</cx:pt>
          <cx:pt idx="29">0.55376682030000002</cx:pt>
          <cx:pt idx="30">0.53131490000000003</cx:pt>
          <cx:pt idx="31">0.53540286429999995</cx:pt>
          <cx:pt idx="32">0.55710461909999998</cx:pt>
          <cx:pt idx="33">0.50991497279999998</cx:pt>
          <cx:pt idx="34">0.52395157429999994</cx:pt>
          <cx:pt idx="35">0.51282506370000003</cx:pt>
          <cx:pt idx="36">0.51011380780000004</cx:pt>
          <cx:pt idx="37">0.55000000000000004</cx:pt>
          <cx:pt idx="38">0.48307780239999998</cx:pt>
          <cx:pt idx="39">0.48050363660000001</cx:pt>
          <cx:pt idx="40">0.48443946119999998</cx:pt>
          <cx:pt idx="41">0.449832277</cx:pt>
          <cx:pt idx="44">0.55525125099999995</cx:pt>
          <cx:pt idx="45">0.58705897380000005</cx:pt>
          <cx:pt idx="46">0.57602695159999995</cx:pt>
          <cx:pt idx="47">0.54104544359999995</cx:pt>
          <cx:pt idx="48">0.556348226</cx:pt>
          <cx:pt idx="49">0.62</cx:pt>
          <cx:pt idx="50">0.57056299789999998</cx:pt>
          <cx:pt idx="51">0.56299871099999999</cx:pt>
          <cx:pt idx="52">0.5456844407</cx:pt>
          <cx:pt idx="53">0.53573119459999996</cx:pt>
          <cx:pt idx="54">0.53254271109999995</cx:pt>
          <cx:pt idx="55">0.53279645360000005</cx:pt>
          <cx:pt idx="56">0.56575650479999995</cx:pt>
          <cx:pt idx="57">0.52901279540000001</cx:pt>
          <cx:pt idx="58">0.52118860570000003</cx:pt>
          <cx:pt idx="59">0.56000000000000005</cx:pt>
          <cx:pt idx="60">0.51241924770000002</cx:pt>
          <cx:pt idx="61">0.48793856289999998</cx:pt>
          <cx:pt idx="62">0.4966611843</cx:pt>
          <cx:pt idx="63">0.48673997130000002</cx:pt>
          <cx:pt idx="66">0.5547927131</cx:pt>
          <cx:pt idx="67">0.57386602760000005</cx:pt>
          <cx:pt idx="68">0.60985210759999997</cx:pt>
          <cx:pt idx="69">0.57615582880000005</cx:pt>
          <cx:pt idx="70">0.54436854690000003</cx:pt>
          <cx:pt idx="71">0.62</cx:pt>
          <cx:pt idx="72">0.57072387979999994</cx:pt>
          <cx:pt idx="73">0.57400622010000002</cx:pt>
          <cx:pt idx="74">0.54879638720000001</cx:pt>
          <cx:pt idx="75">0.52773645950000003</cx:pt>
          <cx:pt idx="76">0.52256793319999995</cx:pt>
          <cx:pt idx="77">0.52979912969999998</cx:pt>
          <cx:pt idx="78">0.5155945448</cx:pt>
          <cx:pt idx="79">0.54362938810000005</cx:pt>
          <cx:pt idx="80">0.50441036139999995</cx:pt>
          <cx:pt idx="81">0.55000000000000004</cx:pt>
          <cx:pt idx="82">0.47906158370000002</cx:pt>
          <cx:pt idx="83">0.52265088869999998</cx:pt>
          <cx:pt idx="84">0.50460594430000005</cx:pt>
          <cx:pt idx="85">0.45969143810000002</cx:pt>
        </cx:lvl>
      </cx:numDim>
    </cx:data>
    <cx:data id="1">
      <cx:numDim type="val">
        <cx:f>Gini!$C$4:$C$201</cx:f>
        <cx:lvl ptCount="198" formatCode="Geral">
          <cx:pt idx="0">0.64360255020000001</cx:pt>
          <cx:pt idx="1">0.63477394779999996</cx:pt>
          <cx:pt idx="2">0.62254239950000001</cx:pt>
          <cx:pt idx="3">0.61940464529999995</cx:pt>
          <cx:pt idx="4">0.58804343560000005</cx:pt>
          <cx:pt idx="5">0.68000000000000005</cx:pt>
          <cx:pt idx="6">0.60716179579999996</cx:pt>
          <cx:pt idx="7">0.60552957500000004</cx:pt>
          <cx:pt idx="8">0.60782574430000003</cx:pt>
          <cx:pt idx="9">0.57464244529999997</cx:pt>
          <cx:pt idx="10">0.56578487399999999</cx:pt>
          <cx:pt idx="11">0.62673208179999995</cx:pt>
          <cx:pt idx="12">0.60544828009999996</cx:pt>
          <cx:pt idx="13">0.58278678819999996</cx:pt>
          <cx:pt idx="14">0.57195896239999999</cx:pt>
          <cx:pt idx="15">0.63</cx:pt>
          <cx:pt idx="16">0.52649252430000004</cx:pt>
          <cx:pt idx="17">0.4994482717</cx:pt>
          <cx:pt idx="18">0.52527491630000001</cx:pt>
          <cx:pt idx="19">0.50109796510000004</cx:pt>
          <cx:pt idx="22">0.60637016960000001</cx:pt>
          <cx:pt idx="23">0.63485621219999999</cx:pt>
          <cx:pt idx="24">0.61206179589999998</cx:pt>
          <cx:pt idx="25">0.59562769670000004</cx:pt>
          <cx:pt idx="26">0.58533637949999995</cx:pt>
          <cx:pt idx="27">0.66000000000000003</cx:pt>
          <cx:pt idx="28">0.59407178709999997</cx:pt>
          <cx:pt idx="29">0.59253957779999999</cx:pt>
          <cx:pt idx="30">0.59142954489999999</cx:pt>
          <cx:pt idx="31">0.55589496169999997</cx:pt>
          <cx:pt idx="32">0.55401095040000004</cx:pt>
          <cx:pt idx="33">0.55697454840000005</cx:pt>
          <cx:pt idx="34">0.55358431350000004</cx:pt>
          <cx:pt idx="35">0.55903593529999995</cx:pt>
          <cx:pt idx="36">0.55610327969999995</cx:pt>
          <cx:pt idx="37">0.62</cx:pt>
          <cx:pt idx="38">0.55369338570000004</cx:pt>
          <cx:pt idx="39">0.54782245740000002</cx:pt>
          <cx:pt idx="40">0.55753406999999999</cx:pt>
          <cx:pt idx="41">0.52736572420000005</cx:pt>
          <cx:pt idx="44">0.61717625440000001</cx:pt>
          <cx:pt idx="45">0.62879766510000001</cx:pt>
          <cx:pt idx="46">0.62364143620000001</cx:pt>
          <cx:pt idx="47">0.61798599890000006</cx:pt>
          <cx:pt idx="48">0.61295805759999999</cx:pt>
          <cx:pt idx="49">0.67000000000000004</cx:pt>
          <cx:pt idx="50">0.61251663140000001</cx:pt>
          <cx:pt idx="51">0.59094182139999996</cx:pt>
          <cx:pt idx="52">0.56944164409999998</cx:pt>
          <cx:pt idx="53">0.57678226379999997</cx:pt>
          <cx:pt idx="54">0.57892325899999997</cx:pt>
          <cx:pt idx="55">0.54824156059999996</cx:pt>
          <cx:pt idx="56">0.54921691269999995</cx:pt>
          <cx:pt idx="57">0.53985068579999995</cx:pt>
          <cx:pt idx="58">0.5448917392</cx:pt>
          <cx:pt idx="59">0.60999999999999999</cx:pt>
          <cx:pt idx="60">0.53851772279999999</cx:pt>
          <cx:pt idx="61">0.52676283170000004</cx:pt>
          <cx:pt idx="62">0.51427626900000001</cx:pt>
          <cx:pt idx="63">0.50577542419999999</cx:pt>
          <cx:pt idx="66">0.57923549510000005</cx:pt>
          <cx:pt idx="67">0.60095753299999999</cx:pt>
          <cx:pt idx="68">0.61864208980000002</cx:pt>
          <cx:pt idx="69">0.6053190208</cx:pt>
          <cx:pt idx="70">0.57486982460000002</cx:pt>
          <cx:pt idx="71">0.65000000000000002</cx:pt>
          <cx:pt idx="72">0.57212358139999997</cx:pt>
          <cx:pt idx="73">0.56689671129999997</cx:pt>
          <cx:pt idx="74">0.57632114739999996</cx:pt>
          <cx:pt idx="75">0.60915706729999997</cx:pt>
          <cx:pt idx="76">0.52097700189999996</cx:pt>
          <cx:pt idx="77">0.59462429620000001</cx:pt>
          <cx:pt idx="78">0.55523619749999997</cx:pt>
          <cx:pt idx="79">0.52065743890000005</cx:pt>
          <cx:pt idx="80">0.53834021990000003</cx:pt>
          <cx:pt idx="81">0.62</cx:pt>
          <cx:pt idx="82">0.54153636009999995</cx:pt>
          <cx:pt idx="83">0.60873373799999997</cx:pt>
          <cx:pt idx="84">0.56024315280000003</cx:pt>
          <cx:pt idx="85">0.52929598720000004</cx:pt>
          <cx:pt idx="88">0.61503781570000005</cx:pt>
          <cx:pt idx="89">0.59912805589999996</cx:pt>
          <cx:pt idx="90">0.63276151439999995</cx:pt>
          <cx:pt idx="91">0.64024071670000005</cx:pt>
          <cx:pt idx="92">0.65603547259999995</cx:pt>
          <cx:pt idx="93">0.63</cx:pt>
          <cx:pt idx="94">0.5959653037</cx:pt>
          <cx:pt idx="95">0.60052863079999996</cx:pt>
          <cx:pt idx="96">0.56781607050000005</cx:pt>
          <cx:pt idx="97">0.59450688730000001</cx:pt>
          <cx:pt idx="98">0.58051558719999996</cx:pt>
          <cx:pt idx="99">0.56495489200000004</cx:pt>
          <cx:pt idx="100">0.59811702470000006</cx:pt>
          <cx:pt idx="101">0.58485249130000005</cx:pt>
          <cx:pt idx="102">0.59136407420000003</cx:pt>
          <cx:pt idx="103">0.60999999999999999</cx:pt>
          <cx:pt idx="104">0.53779215930000002</cx:pt>
          <cx:pt idx="105">0.52817017070000005</cx:pt>
          <cx:pt idx="106">0.52527983690000002</cx:pt>
          <cx:pt idx="107">0.51324899560000004</cx:pt>
          <cx:pt idx="110">0.57449295810000001</cx:pt>
          <cx:pt idx="111">0.60538595470000001</cx:pt>
          <cx:pt idx="112">0.59310443869999996</cx:pt>
          <cx:pt idx="113">0.59837963459999999</cx:pt>
          <cx:pt idx="114">0.60408302189999996</cx:pt>
          <cx:pt idx="115">0.66000000000000003</cx:pt>
          <cx:pt idx="116">0.61628571620000006</cx:pt>
          <cx:pt idx="117">0.60918887939999999</cx:pt>
          <cx:pt idx="118">0.58954636719999998</cx:pt>
          <cx:pt idx="119">0.60675310979999997</cx:pt>
          <cx:pt idx="120">0.58599631640000005</cx:pt>
          <cx:pt idx="121">0.58178788849999996</cx:pt>
          <cx:pt idx="122">0.55959219049999998</cx:pt>
          <cx:pt idx="123">0.56501274830000003</cx:pt>
          <cx:pt idx="124">0.55349168520000003</cx:pt>
          <cx:pt idx="125">0.62</cx:pt>
          <cx:pt idx="126">0.52725030839999998</cx:pt>
          <cx:pt idx="127">0.50742160000000003</cx:pt>
          <cx:pt idx="128">0.50232708969999995</cx:pt>
          <cx:pt idx="129">0.50698214149999998</cx:pt>
          <cx:pt idx="132">0.58781334829999998</cx:pt>
          <cx:pt idx="133">0.59014872689999998</cx:pt>
          <cx:pt idx="134">0.62146967909999995</cx:pt>
          <cx:pt idx="135">0.59448824769999997</cx:pt>
          <cx:pt idx="136">0.59939913860000005</cx:pt>
          <cx:pt idx="137">0.65000000000000002</cx:pt>
          <cx:pt idx="138">0.59779611669999999</cx:pt>
          <cx:pt idx="139">0.61839497669999999</cx:pt>
          <cx:pt idx="140">0.60228713440000003</cx:pt>
          <cx:pt idx="141">0.59078612909999995</cx:pt>
          <cx:pt idx="142">0.59050166650000002</cx:pt>
          <cx:pt idx="143">0.59864305019999997</cx:pt>
          <cx:pt idx="144">0.59320569899999998</cx:pt>
          <cx:pt idx="145">0.57380743769999998</cx:pt>
          <cx:pt idx="146">0.55484901750000004</cx:pt>
          <cx:pt idx="147">0.60999999999999999</cx:pt>
          <cx:pt idx="148">0.50754045930000002</cx:pt>
          <cx:pt idx="149">0.54549083229999995</cx:pt>
          <cx:pt idx="150">0.51535855149999998</cx:pt>
          <cx:pt idx="151">0.50144953309999996</cx:pt>
          <cx:pt idx="154">0.59688756430000001</cx:pt>
          <cx:pt idx="155">0.60759990500000005</cx:pt>
          <cx:pt idx="156">0.59701313629999997</cx:pt>
          <cx:pt idx="157">0.59844974679999996</cx:pt>
          <cx:pt idx="158">0.59695520349999998</cx:pt>
          <cx:pt idx="159">0.64000000000000001</cx:pt>
          <cx:pt idx="160">0.581198828</cx:pt>
          <cx:pt idx="161">0.58378850120000003</cx:pt>
          <cx:pt idx="162">0.56241221919999995</cx:pt>
          <cx:pt idx="163">0.57029594250000004</cx:pt>
          <cx:pt idx="164">0.59807594620000004</cx:pt>
          <cx:pt idx="165">0.56070053939999998</cx:pt>
          <cx:pt idx="166">0.56098716410000005</cx:pt>
          <cx:pt idx="167">0.55085517169999998</cx:pt>
          <cx:pt idx="168">0.55912395699999995</cx:pt>
          <cx:pt idx="169">0.59999999999999998</cx:pt>
          <cx:pt idx="170">0.5616180972</cx:pt>
          <cx:pt idx="171">0.53129398859999999</cx:pt>
          <cx:pt idx="172">0.54126333979999997</cx:pt>
          <cx:pt idx="173">0.4962270063</cx:pt>
          <cx:pt idx="176">0.58519777579999999</cx:pt>
          <cx:pt idx="177">0.60628671300000003</cx:pt>
          <cx:pt idx="178">0.62022783800000003</cx:pt>
          <cx:pt idx="179">0.61655879049999995</cx:pt>
          <cx:pt idx="180">0.62429595250000003</cx:pt>
          <cx:pt idx="181">0.65000000000000002</cx:pt>
          <cx:pt idx="182">0.5706379291</cx:pt>
          <cx:pt idx="183">0.55619841400000003</cx:pt>
          <cx:pt idx="184">0.57826189350000001</cx:pt>
          <cx:pt idx="185">0.56076424469999997</cx:pt>
          <cx:pt idx="186">0.5535993078</cx:pt>
          <cx:pt idx="187">0.55990163599999998</cx:pt>
          <cx:pt idx="188">0.54314883030000005</cx:pt>
          <cx:pt idx="189">0.53914870520000002</cx:pt>
          <cx:pt idx="190">0.57635286240000005</cx:pt>
          <cx:pt idx="191">0.62</cx:pt>
          <cx:pt idx="192">0.55964192469999996</cx:pt>
          <cx:pt idx="193">0.54181663300000005</cx:pt>
          <cx:pt idx="194">0.56024444799999995</cx:pt>
          <cx:pt idx="195">0.4847592765</cx:pt>
        </cx:lvl>
      </cx:numDim>
    </cx:data>
    <cx:data id="2">
      <cx:numDim type="val">
        <cx:f>Gini!$D$4:$D$157</cx:f>
        <cx:lvl ptCount="154" formatCode="Geral">
          <cx:pt idx="0">0.58232476180000003</cx:pt>
          <cx:pt idx="1">0.63296780200000002</cx:pt>
          <cx:pt idx="2">0.57438857509999997</cx:pt>
          <cx:pt idx="3">0.57045320340000005</cx:pt>
          <cx:pt idx="4">0.62131600129999998</cx:pt>
          <cx:pt idx="5">0.64000000000000001</cx:pt>
          <cx:pt idx="6">0.62330070240000002</cx:pt>
          <cx:pt idx="7">0.62068202149999996</cx:pt>
          <cx:pt idx="8">0.57817379140000003</cx:pt>
          <cx:pt idx="9">0.59357163889999998</cx:pt>
          <cx:pt idx="10">0.5834207253</cx:pt>
          <cx:pt idx="11">0.59234023209999997</cx:pt>
          <cx:pt idx="12">0.60932194409999996</cx:pt>
          <cx:pt idx="13">0.55982177320000004</cx:pt>
          <cx:pt idx="14">0.61318529119999998</cx:pt>
          <cx:pt idx="15">0.63</cx:pt>
          <cx:pt idx="16">0.54666046830000004</cx:pt>
          <cx:pt idx="17">0.55037883769999996</cx:pt>
          <cx:pt idx="18">0.52491029749999996</cx:pt>
          <cx:pt idx="19">0.54238574279999996</cx:pt>
          <cx:pt idx="22">0.57625550130000003</cx:pt>
          <cx:pt idx="23">0.54573020750000001</cx:pt>
          <cx:pt idx="24">0.58941124</cx:pt>
          <cx:pt idx="25">0.57988856590000004</cx:pt>
          <cx:pt idx="26">0.54429736100000004</cx:pt>
          <cx:pt idx="27">0.67000000000000004</cx:pt>
          <cx:pt idx="28">0.57547329550000004</cx:pt>
          <cx:pt idx="29">0.56328623190000005</cx:pt>
          <cx:pt idx="30">0.55631410569999995</cx:pt>
          <cx:pt idx="31">0.53632944329999999</cx:pt>
          <cx:pt idx="32">0.51226605960000005</cx:pt>
          <cx:pt idx="33">0.51389416720000003</cx:pt>
          <cx:pt idx="34">0.55041787119999996</cx:pt>
          <cx:pt idx="35">0.51292117910000001</cx:pt>
          <cx:pt idx="36">0.50904970429999996</cx:pt>
          <cx:pt idx="37">0.65000000000000002</cx:pt>
          <cx:pt idx="38">0.54147253689999997</cx:pt>
          <cx:pt idx="39">0.51098467400000003</cx:pt>
          <cx:pt idx="40">0.54278438620000002</cx:pt>
          <cx:pt idx="41">0.52977885359999999</cx:pt>
          <cx:pt idx="44">0.53446086650000002</cx:pt>
          <cx:pt idx="45">0.51904466169999997</cx:pt>
          <cx:pt idx="46">0.56966004420000005</cx:pt>
          <cx:pt idx="47">0.57883215840000002</cx:pt>
          <cx:pt idx="48">0.54263240089999998</cx:pt>
          <cx:pt idx="49">0.62</cx:pt>
          <cx:pt idx="50">0.47554313129999998</cx:pt>
          <cx:pt idx="51">0.5491893913</cx:pt>
          <cx:pt idx="52">0.59384758770000001</cx:pt>
          <cx:pt idx="53">0.54233788510000003</cx:pt>
          <cx:pt idx="54">0.52718879860000001</cx:pt>
          <cx:pt idx="55">0.4752295426</cx:pt>
          <cx:pt idx="56">0.50916259019999999</cx:pt>
          <cx:pt idx="57">0.45573982099999999</cx:pt>
          <cx:pt idx="58">0.51916453159999998</cx:pt>
          <cx:pt idx="59">0.59999999999999998</cx:pt>
          <cx:pt idx="60">0.51907358380000002</cx:pt>
          <cx:pt idx="61">0.5370986686</cx:pt>
          <cx:pt idx="62">0.52157858450000005</cx:pt>
          <cx:pt idx="63">0.47028884050000003</cx:pt>
          <cx:pt idx="66">0.56194278340000003</cx:pt>
          <cx:pt idx="67">0.57940393970000004</cx:pt>
          <cx:pt idx="68">0.57308834610000003</cx:pt>
          <cx:pt idx="69">0.56462668819999995</cx:pt>
          <cx:pt idx="70">0.55581676800000002</cx:pt>
          <cx:pt idx="71">0.65000000000000002</cx:pt>
          <cx:pt idx="72">0.55136225059999999</cx:pt>
          <cx:pt idx="73">0.55899984739999997</cx:pt>
          <cx:pt idx="74">0.51873601489999999</cx:pt>
          <cx:pt idx="75">0.53544335409999999</cx:pt>
          <cx:pt idx="76">0.51555010680000002</cx:pt>
          <cx:pt idx="77">0.50508717439999995</cx:pt>
          <cx:pt idx="78">0.52244461870000003</cx:pt>
          <cx:pt idx="79">0.4963187275</cx:pt>
          <cx:pt idx="80">0.50888322279999998</cx:pt>
          <cx:pt idx="81">0.62</cx:pt>
          <cx:pt idx="82">0.53751581729999998</cx:pt>
          <cx:pt idx="83">0.5013439542</cx:pt>
          <cx:pt idx="84">0.50197374640000003</cx:pt>
          <cx:pt idx="85">0.48594936909999997</cx:pt>
          <cx:pt idx="88">0.58718892950000001</cx:pt>
          <cx:pt idx="89">0.53649975979999998</cx:pt>
          <cx:pt idx="90">0.55412270239999994</cx:pt>
          <cx:pt idx="91">0.5499687674</cx:pt>
          <cx:pt idx="92">0.55871028789999999</cx:pt>
          <cx:pt idx="93">0.59999999999999998</cx:pt>
          <cx:pt idx="94">0.54761478240000006</cx:pt>
          <cx:pt idx="95">0.54449594899999998</cx:pt>
          <cx:pt idx="96">0.50667748930000001</cx:pt>
          <cx:pt idx="97">0.51602194879999996</cx:pt>
          <cx:pt idx="98">0.56782398219999997</cx:pt>
          <cx:pt idx="99">0.54453600079999998</cx:pt>
          <cx:pt idx="100">0.50702191819999998</cx:pt>
          <cx:pt idx="101">0.50050482460000001</cx:pt>
          <cx:pt idx="102">0.50938117709999997</cx:pt>
          <cx:pt idx="103">0.56000000000000005</cx:pt>
          <cx:pt idx="104">0.49590512640000001</cx:pt>
          <cx:pt idx="105">0.48435559969999997</cx:pt>
          <cx:pt idx="106">0.4760171601</cx:pt>
          <cx:pt idx="107">0.47043825039999998</cx:pt>
          <cx:pt idx="110">0.42556669229999999</cx:pt>
          <cx:pt idx="111">0.45082448089999999</cx:pt>
          <cx:pt idx="112">0.44310344460000001</cx:pt>
          <cx:pt idx="113">0.50913161159999998</cx:pt>
          <cx:pt idx="114">0.51218333390000004</cx:pt>
          <cx:pt idx="115">0.60999999999999999</cx:pt>
          <cx:pt idx="116">0.5375127261</cx:pt>
          <cx:pt idx="117">0.56124732970000002</cx:pt>
          <cx:pt idx="118">0.524408129</cx:pt>
          <cx:pt idx="119">0.58279382660000001</cx:pt>
          <cx:pt idx="120">0.53922887360000005</cx:pt>
          <cx:pt idx="121">0.56395822309999999</cx:pt>
          <cx:pt idx="122">0.51544399490000004</cx:pt>
          <cx:pt idx="123">0.54223954119999995</cx:pt>
          <cx:pt idx="124">0.52131170910000002</cx:pt>
          <cx:pt idx="125">0.63</cx:pt>
          <cx:pt idx="126">0.52416651719999996</cx:pt>
          <cx:pt idx="127">0.53998024929999999</cx:pt>
          <cx:pt idx="128">0.53080353339999997</cx:pt>
          <cx:pt idx="129">0.50237762620000004</cx:pt>
          <cx:pt idx="132">0.63168452289999999</cx:pt>
          <cx:pt idx="133">0.63793972779999997</cx:pt>
          <cx:pt idx="134">0.62530161910000004</cx:pt>
          <cx:pt idx="135">0.61380081600000003</cx:pt>
          <cx:pt idx="136">0.55802111040000002</cx:pt>
          <cx:pt idx="137">0.65000000000000002</cx:pt>
          <cx:pt idx="138">0.59918186039999999</cx:pt>
          <cx:pt idx="139">0.55942936980000002</cx:pt>
          <cx:pt idx="140">0.56606473459999995</cx:pt>
          <cx:pt idx="141">0.55061024140000003</cx:pt>
          <cx:pt idx="142">0.53518240449999999</cx:pt>
          <cx:pt idx="143">0.52165109860000003</cx:pt>
          <cx:pt idx="144">0.54628636249999996</cx:pt>
          <cx:pt idx="145">0.54375088189999998</cx:pt>
          <cx:pt idx="146">0.52331520600000003</cx:pt>
          <cx:pt idx="147">0.59999999999999998</cx:pt>
          <cx:pt idx="148">0.52270335680000002</cx:pt>
          <cx:pt idx="149">0.5261203753</cx:pt>
          <cx:pt idx="150">0.51928096800000001</cx:pt>
          <cx:pt idx="151">0.51462117750000003</cx:pt>
        </cx:lvl>
      </cx:numDim>
    </cx:data>
    <cx:data id="3">
      <cx:numDim type="val">
        <cx:f>Gini!$E$4:$E$91</cx:f>
        <cx:lvl ptCount="88" formatCode="Geral">
          <cx:pt idx="0">0.60106755759999997</cx:pt>
          <cx:pt idx="1">0.58056502669999999</cx:pt>
          <cx:pt idx="2">0.57310325529999995</cx:pt>
          <cx:pt idx="3">0.58152016370000004</cx:pt>
          <cx:pt idx="4">0.57700151879999995</cx:pt>
          <cx:pt idx="5">0.59999999999999998</cx:pt>
          <cx:pt idx="6">0.59363629029999998</cx:pt>
          <cx:pt idx="7">0.58023551740000001</cx:pt>
          <cx:pt idx="8">0.55716570040000002</cx:pt>
          <cx:pt idx="9">0.54925473469999997</cx:pt>
          <cx:pt idx="10">0.55819038139999999</cx:pt>
          <cx:pt idx="11">0.53669343059999997</cx:pt>
          <cx:pt idx="12">0.52606045270000001</cx:pt>
          <cx:pt idx="13">0.52098559109999998</cx:pt>
          <cx:pt idx="14">0.5316176427</cx:pt>
          <cx:pt idx="15">0.56000000000000005</cx:pt>
          <cx:pt idx="16">0.49745996920000002</cx:pt>
          <cx:pt idx="17">0.49695922240000001</cx:pt>
          <cx:pt idx="18">0.4940210686</cx:pt>
          <cx:pt idx="19">0.49205623259999998</cx:pt>
          <cx:pt idx="22">0.58825911109999995</cx:pt>
          <cx:pt idx="23">0.57022308830000001</cx:pt>
          <cx:pt idx="24">0.58459655200000005</cx:pt>
          <cx:pt idx="25">0.56953608440000003</cx:pt>
          <cx:pt idx="26">0.56423856839999997</cx:pt>
          <cx:pt idx="27">0.60999999999999999</cx:pt>
          <cx:pt idx="28">0.56021740310000001</cx:pt>
          <cx:pt idx="29">0.56067092959999998</cx:pt>
          <cx:pt idx="30">0.55041293599999996</cx:pt>
          <cx:pt idx="31">0.54220715789999996</cx:pt>
          <cx:pt idx="32">0.52717534170000002</cx:pt>
          <cx:pt idx="33">0.52760101920000002</cx:pt>
          <cx:pt idx="34">0.51690301230000002</cx:pt>
          <cx:pt idx="35">0.51456750979999999</cx:pt>
          <cx:pt idx="36">0.51253402059999997</cx:pt>
          <cx:pt idx="37">0.56000000000000005</cx:pt>
          <cx:pt idx="38">0.49866712930000001</cx:pt>
          <cx:pt idx="39">0.49929694299999999</cx:pt>
          <cx:pt idx="40">0.48908550620000002</cx:pt>
          <cx:pt idx="41">0.48479634370000002</cx:pt>
          <cx:pt idx="44">0.57271046729999997</cx:pt>
          <cx:pt idx="45">0.57764877930000003</cx:pt>
          <cx:pt idx="46">0.57269942610000002</cx:pt>
          <cx:pt idx="47">0.57374771290000004</cx:pt>
          <cx:pt idx="48">0.55554930290000004</cx:pt>
          <cx:pt idx="49">0.59999999999999998</cx:pt>
          <cx:pt idx="50">0.57176425730000002</cx:pt>
          <cx:pt idx="51">0.54940342870000003</cx:pt>
          <cx:pt idx="52">0.56047865050000001</cx:pt>
          <cx:pt idx="53">0.55004034830000004</cx:pt>
          <cx:pt idx="54">0.55664704180000002</cx:pt>
          <cx:pt idx="55">0.55503377340000004</cx:pt>
          <cx:pt idx="56">0.54874585860000002</cx:pt>
          <cx:pt idx="57">0.53966358800000003</cx:pt>
          <cx:pt idx="58">0.54238970789999996</cx:pt>
          <cx:pt idx="59">0.58999999999999997</cx:pt>
          <cx:pt idx="60">0.53307298169999995</cx:pt>
          <cx:pt idx="61">0.53024247199999996</cx:pt>
          <cx:pt idx="62">0.53215567779999995</cx:pt>
          <cx:pt idx="63">0.52487405880000004</cx:pt>
          <cx:pt idx="66">0.53820404040000003</cx:pt>
          <cx:pt idx="67">0.53267566580000003</cx:pt>
          <cx:pt idx="68">0.53737496610000002</cx:pt>
          <cx:pt idx="69">0.54177142209999996</cx:pt>
          <cx:pt idx="70">0.54167294570000002</cx:pt>
          <cx:pt idx="71">0.57999999999999996</cx:pt>
          <cx:pt idx="72">0.55313852109999995</cx:pt>
          <cx:pt idx="73">0.55506971770000002</cx:pt>
          <cx:pt idx="74">0.54573730939999998</cx:pt>
          <cx:pt idx="75">0.52797596960000004</cx:pt>
          <cx:pt idx="76">0.53212797020000002</cx:pt>
          <cx:pt idx="77">0.5246518255</cx:pt>
          <cx:pt idx="78">0.50648128650000002</cx:pt>
          <cx:pt idx="79">0.4980843278</cx:pt>
          <cx:pt idx="80">0.48935785990000003</cx:pt>
          <cx:pt idx="81">0.56000000000000005</cx:pt>
          <cx:pt idx="82">0.4846460802</cx:pt>
          <cx:pt idx="83">0.49290487919999998</cx:pt>
          <cx:pt idx="84">0.49361870219999998</cx:pt>
          <cx:pt idx="85">0.49339704429999998</cx:pt>
        </cx:lvl>
      </cx:numDim>
    </cx:data>
    <cx:data id="4">
      <cx:numDim type="val">
        <cx:f>Gini!$F$4:$F$69</cx:f>
        <cx:lvl ptCount="66" formatCode="Geral">
          <cx:pt idx="0">0.58072994720000004</cx:pt>
          <cx:pt idx="1">0.57741884700000001</cx:pt>
          <cx:pt idx="2">0.57126324880000001</cx:pt>
          <cx:pt idx="3">0.56727595919999996</cx:pt>
          <cx:pt idx="4">0.58003684499999997</cx:pt>
          <cx:pt idx="5">0.59999999999999998</cx:pt>
          <cx:pt idx="6">0.56575032189999996</cx:pt>
          <cx:pt idx="7">0.53977713149999995</cx:pt>
          <cx:pt idx="8">0.54625960210000002</cx:pt>
          <cx:pt idx="9">0.54798359070000002</cx:pt>
          <cx:pt idx="10">0.53895446260000002</cx:pt>
          <cx:pt idx="11">0.51899257789999997</cx:pt>
          <cx:pt idx="12">0.52759922380000002</cx:pt>
          <cx:pt idx="13">0.50019407839999996</cx:pt>
          <cx:pt idx="14">0.49726913090000002</cx:pt>
          <cx:pt idx="15">0.53000000000000003</cx:pt>
          <cx:pt idx="16">0.47126344329999997</cx:pt>
          <cx:pt idx="17">0.4833605621</cx:pt>
          <cx:pt idx="18">0.46853367130000001</cx:pt>
          <cx:pt idx="19">0.45299997069999998</cx:pt>
          <cx:pt idx="22">0.56374630469999998</cx:pt>
          <cx:pt idx="23">0.56179919290000002</cx:pt>
          <cx:pt idx="24">0.5526021109</cx:pt>
          <cx:pt idx="25">0.56088954619999998</cx:pt>
          <cx:pt idx="26">0.56414532890000002</cx:pt>
          <cx:pt idx="27">0.57999999999999996</cx:pt>
          <cx:pt idx="28">0.5541278758</cx:pt>
          <cx:pt idx="29">0.54793518419999998</cx:pt>
          <cx:pt idx="30">0.53939037479999996</cx:pt>
          <cx:pt idx="31">0.52802044150000005</cx:pt>
          <cx:pt idx="32">0.52004028079999998</cx:pt>
          <cx:pt idx="33">0.51472497630000003</cx:pt>
          <cx:pt idx="34">0.50557578260000002</cx:pt>
          <cx:pt idx="35">0.50417717920000005</cx:pt>
          <cx:pt idx="36">0.4999028875</cx:pt>
          <cx:pt idx="37">0.54000000000000004</cx:pt>
          <cx:pt idx="38">0.48603264769999999</cx:pt>
          <cx:pt idx="39">0.476502484</cx:pt>
          <cx:pt idx="40">0.47758156689999998</cx:pt>
          <cx:pt idx="41">0.47585927839999997</cx:pt>
          <cx:pt idx="44">0.53692902369999995</cx:pt>
          <cx:pt idx="45">0.52223291819999995</cx:pt>
          <cx:pt idx="46">0.52872793490000003</cx:pt>
          <cx:pt idx="47">0.52217307869999996</cx:pt>
          <cx:pt idx="48">0.52035855119999996</cx:pt>
          <cx:pt idx="49">0.56000000000000005</cx:pt>
          <cx:pt idx="50">0.49743889559999999</cx:pt>
          <cx:pt idx="51">0.4711160949</cx:pt>
          <cx:pt idx="52">0.48070992930000001</cx:pt>
          <cx:pt idx="53">0.46109206419999998</cx:pt>
          <cx:pt idx="54">0.4607825471</cx:pt>
          <cx:pt idx="55">0.46452141200000002</cx:pt>
          <cx:pt idx="56">0.46264001319999998</cx:pt>
          <cx:pt idx="57">0.46482235370000002</cx:pt>
          <cx:pt idx="58">0.45969162949999998</cx:pt>
          <cx:pt idx="59">0.48999999999999999</cx:pt>
          <cx:pt idx="60">0.44370084180000002</cx:pt>
          <cx:pt idx="61">0.42392475089999998</cx:pt>
          <cx:pt idx="62">0.43503781130000002</cx:pt>
          <cx:pt idx="63">0.42121736830000001</cx:pt>
        </cx:lvl>
      </cx:numDim>
    </cx:data>
  </cx:chartData>
  <cx:chart>
    <cx:plotArea>
      <cx:plotAreaRegion>
        <cx:series layoutId="boxWhisker" uniqueId="{AC8957EB-073C-DA48-8AA4-BC1C838B0048}">
          <cx:tx>
            <cx:txData>
              <cx:f>Gini!$B$3</cx:f>
              <cx:v>Centro-Oeste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79"/>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Gini!$C$3</cx:f>
              <cx:v>Nordeste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79"/>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Gini!$D$3</cx:f>
              <cx:v>Norte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
            <cx:dataLabelHidden idx="138"/>
            <cx:dataLabelHidden idx="139"/>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Gini!$E$3</cx:f>
              <cx:v>Sudeste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79"/>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Gini!$F$3</cx:f>
              <cx:v>Sul</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59"/>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max="0.70000000000000007" min="0.40000000000000002"/>
        <cx:majorGridlines/>
        <cx:tickLabels/>
        <cx:numFmt formatCode="#.##0,0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7.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Tx_Analfabetismo!$B$4:$B$91</cx:f>
        <cx:lvl ptCount="88" formatCode="Geral">
          <cx:pt idx="0">0.064968105346000005</cx:pt>
          <cx:pt idx="1">0.062810067269</cx:pt>
          <cx:pt idx="2">0.060118904302000002</cx:pt>
          <cx:pt idx="3">0.055625634851</cx:pt>
          <cx:pt idx="4">0.050259154058000001</cx:pt>
          <cx:pt idx="5">0.056799999999999996</cx:pt>
          <cx:pt idx="6">0.055296148643000004</cx:pt>
          <cx:pt idx="7">0.056699117496999997</cx:pt>
          <cx:pt idx="8">0.044472575439000003</cx:pt>
          <cx:pt idx="9">0.041986807203999998</cx:pt>
          <cx:pt idx="10">0.046634385367</cx:pt>
          <cx:pt idx="11">0.037656809352999997</cx:pt>
          <cx:pt idx="12">0.037268854592000002</cx:pt>
          <cx:pt idx="13">0.040180799806999998</cx:pt>
          <cx:pt idx="14">0.034469684582000004</cx:pt>
          <cx:pt idx="15">0.034700000000000002</cx:pt>
          <cx:pt idx="16">0.031467668313999997</cx:pt>
          <cx:pt idx="17">0.034858998511000001</cx:pt>
          <cx:pt idx="18">0.031865021611000001</cx:pt>
          <cx:pt idx="19">0.027285441739999999</cx:pt>
          <cx:pt idx="22">0.15128114036699999</cx:pt>
          <cx:pt idx="23">0.13276239416299998</cx:pt>
          <cx:pt idx="24">0.142362024985</cx:pt>
          <cx:pt idx="25">0.13057629824399999</cx:pt>
          <cx:pt idx="26">0.12538534126600001</cx:pt>
          <cx:pt idx="27">0.1193</cx:pt>
          <cx:pt idx="28">0.11669145570299999</cx:pt>
          <cx:pt idx="29">0.112857822458</cx:pt>
          <cx:pt idx="30">0.10894190122599999</cx:pt>
          <cx:pt idx="31">0.106917416367</cx:pt>
          <cx:pt idx="32">0.102192746234</cx:pt>
          <cx:pt idx="33">0.096024533504999995</cx:pt>
          <cx:pt idx="34">0.088004655965000012</cx:pt>
          <cx:pt idx="35">0.093076662804999988</cx:pt>
          <cx:pt idx="36">0.086056306553000006</cx:pt>
          <cx:pt idx="37">0.079399999999999998</cx:pt>
          <cx:pt idx="38">0.071805308476000002</cx:pt>
          <cx:pt idx="39">0.072929099758999999</cx:pt>
          <cx:pt idx="40">0.070559835547000002</cx:pt>
          <cx:pt idx="41">0.076823986430999996</cx:pt>
          <cx:pt idx="44">0.13355727507699999</cx:pt>
          <cx:pt idx="45">0.12408177149500001</cx:pt>
          <cx:pt idx="46">0.12120872954499999</cx:pt>
          <cx:pt idx="47">0.118738256778</cx:pt>
          <cx:pt idx="48">0.110110097364</cx:pt>
          <cx:pt idx="49">0.1119</cx:pt>
          <cx:pt idx="50">0.10250767980599999</cx:pt>
          <cx:pt idx="51">0.089877531994999996</cx:pt>
          <cx:pt idx="52">0.096015289082000008</cx:pt>
          <cx:pt idx="53">0.095241959693999997</cx:pt>
          <cx:pt idx="54">0.090610952391999997</cx:pt>
          <cx:pt idx="55">0.084599958975</cx:pt>
          <cx:pt idx="56">0.083371462444999989</cx:pt>
          <cx:pt idx="57">0.081234808026999991</cx:pt>
          <cx:pt idx="58">0.086953977027999993</cx:pt>
          <cx:pt idx="59">0.076700000000000004</cx:pt>
          <cx:pt idx="60">0.063650456445000003</cx:pt>
          <cx:pt idx="61">0.069931298912999998</cx:pt>
          <cx:pt idx="62">0.071711971998000001</cx:pt>
          <cx:pt idx="63">0.064538117973999998</cx:pt>
          <cx:pt idx="66">0.15357736861599999</cx:pt>
          <cx:pt idx="67">0.118941837488</cx:pt>
          <cx:pt idx="68">0.14366738295199999</cx:pt>
          <cx:pt idx="69">0.11175531015300001</cx:pt>
          <cx:pt idx="70">0.11798301698899999</cx:pt>
          <cx:pt idx="71">0.12359999999999999</cx:pt>
          <cx:pt idx="72">0.11192481493900001</cx:pt>
          <cx:pt idx="73">0.102046086375</cx:pt>
          <cx:pt idx="74">0.107004082202</cx:pt>
          <cx:pt idx="75">0.100978306019</cx:pt>
          <cx:pt idx="76">0.097447391738999994</cx:pt>
          <cx:pt idx="77">0.092306234547999994</cx:pt>
          <cx:pt idx="78">0.10060319125799999</cx:pt>
          <cx:pt idx="79">0.095516227713999993</cx:pt>
          <cx:pt idx="80">0.10152038424700001</cx:pt>
          <cx:pt idx="81">0.0848</cx:pt>
          <cx:pt idx="82">0.073944400344999994</cx:pt>
          <cx:pt idx="83">0.080528396345000003</cx:pt>
          <cx:pt idx="84">0.078345120364000001</cx:pt>
          <cx:pt idx="85">0.073042198559000002</cx:pt>
        </cx:lvl>
      </cx:numDim>
    </cx:data>
    <cx:data id="1">
      <cx:numDim type="val">
        <cx:f>Tx_Analfabetismo!$C$4:$C$201</cx:f>
        <cx:lvl ptCount="198" formatCode="Geral">
          <cx:pt idx="0">0.34922072196899995</cx:pt>
          <cx:pt idx="1">0.36144005910099997</cx:pt>
          <cx:pt idx="2">0.36367398039299997</cx:pt>
          <cx:pt idx="3">0.34765723040500002</cx:pt>
          <cx:pt idx="4">0.32731337896500001</cx:pt>
          <cx:pt idx="5">0.33390000000000003</cx:pt>
          <cx:pt idx="6">0.30597308321300004</cx:pt>
          <cx:pt idx="7">0.31184284368499998</cx:pt>
          <cx:pt idx="8">0.30409381850599998</cx:pt>
          <cx:pt idx="9">0.29511691233199999</cx:pt>
          <cx:pt idx="10">0.29268524347800001</cx:pt>
          <cx:pt idx="11">0.26437066413900001</cx:pt>
          <cx:pt idx="12">0.25142654058300001</cx:pt>
          <cx:pt idx="13">0.25740950233999998</cx:pt>
          <cx:pt idx="14">0.245671180313</cx:pt>
          <cx:pt idx="15">0.24329999999999999</cx:pt>
          <cx:pt idx="16">0.21783119168999998</cx:pt>
          <cx:pt idx="17">0.218349403799</cx:pt>
          <cx:pt idx="18">0.21647721109100002</cx:pt>
          <cx:pt idx="19">0.219710925009</cx:pt>
          <cx:pt idx="22">0.28468646519200003</cx:pt>
          <cx:pt idx="23">0.246074495363</cx:pt>
          <cx:pt idx="24">0.27013082708199998</cx:pt>
          <cx:pt idx="25">0.24945685748599999</cx:pt>
          <cx:pt idx="26">0.24573729114599999</cx:pt>
          <cx:pt idx="27">0.23149999999999998</cx:pt>
          <cx:pt idx="28">0.226960738898</cx:pt>
          <cx:pt idx="29">0.21573190670799999</cx:pt>
          <cx:pt idx="30">0.21202626771399999</cx:pt>
          <cx:pt idx="31">0.20311736104100001</cx:pt>
          <cx:pt idx="32">0.186731423975</cx:pt>
          <cx:pt idx="33">0.18470787111100001</cx:pt>
          <cx:pt idx="34">0.18340906661799999</cx:pt>
          <cx:pt idx="35">0.17339964324599999</cx:pt>
          <cx:pt idx="36">0.167674852466</cx:pt>
          <cx:pt idx="37">0.16579999999999998</cx:pt>
          <cx:pt idx="38">0.144523561873</cx:pt>
          <cx:pt idx="39">0.15893685692100001</cx:pt>
          <cx:pt idx="40">0.14913226259000001</cx:pt>
          <cx:pt idx="41">0.14740348039100001</cx:pt>
          <cx:pt idx="44">0.31590219938499997</cx:pt>
          <cx:pt idx="45">0.31153090754000001</cx:pt>
          <cx:pt idx="46">0.30940635783699999</cx:pt>
          <cx:pt idx="47">0.29676498337200002</cx:pt>
          <cx:pt idx="48">0.28044816254600002</cx:pt>
          <cx:pt idx="49">0.26539999999999997</cx:pt>
          <cx:pt idx="50">0.24603259040699998</cx:pt>
          <cx:pt idx="51">0.224602487401</cx:pt>
          <cx:pt idx="52">0.22573862182599999</cx:pt>
          <cx:pt idx="53">0.21630414402100001</cx:pt>
          <cx:pt idx="54">0.22440295587400003</cx:pt>
          <cx:pt idx="55">0.20489913451300001</cx:pt>
          <cx:pt idx="56">0.190161816654</cx:pt>
          <cx:pt idx="57">0.18922483452000002</cx:pt>
          <cx:pt idx="58">0.18412277893399998</cx:pt>
          <cx:pt idx="59">0.18739999999999998</cx:pt>
          <cx:pt idx="60">0.16490247224099999</cx:pt>
          <cx:pt idx="61">0.16274337490099999</cx:pt>
          <cx:pt idx="62">0.16722980004400001</cx:pt>
          <cx:pt idx="63">0.16284987351600003</cx:pt>
          <cx:pt idx="66">0.31953260587999999</cx:pt>
          <cx:pt idx="67">0.33397031777000002</cx:pt>
          <cx:pt idx="68">0.35966182968499999</cx:pt>
          <cx:pt idx="69">0.29690107973000002</cx:pt>
          <cx:pt idx="70">0.28952438784000001</cx:pt>
          <cx:pt idx="71">0.28389999999999999</cx:pt>
          <cx:pt idx="72">0.23395728307799998</cx:pt>
          <cx:pt idx="73">0.228977286167</cx:pt>
          <cx:pt idx="74">0.23775055873000001</cx:pt>
          <cx:pt idx="75">0.23103025444499997</cx:pt>
          <cx:pt idx="76">0.22997229513799999</cx:pt>
          <cx:pt idx="77">0.22793286750699998</cx:pt>
          <cx:pt idx="78">0.214489421879</cx:pt>
          <cx:pt idx="79">0.19459762430200001</cx:pt>
          <cx:pt idx="80">0.19080851183899999</cx:pt>
          <cx:pt idx="81">0.2087</cx:pt>
          <cx:pt idx="82">0.21638550848300001</cx:pt>
          <cx:pt idx="83">0.20836678539</cx:pt>
          <cx:pt idx="84">0.19849920683800001</cx:pt>
          <cx:pt idx="85">0.19607995994500002</cx:pt>
          <cx:pt idx="88">0.32304271715499999</cx:pt>
          <cx:pt idx="89">0.31321935360800002</cx:pt>
          <cx:pt idx="90">0.29811666257699998</cx:pt>
          <cx:pt idx="91">0.28667791119399999</cx:pt>
          <cx:pt idx="92">0.25978685628100001</cx:pt>
          <cx:pt idx="93">0.29710000000000003</cx:pt>
          <cx:pt idx="94">0.27174459725399996</cx:pt>
          <cx:pt idx="95">0.271068836551</cx:pt>
          <cx:pt idx="96">0.252114908666</cx:pt>
          <cx:pt idx="97">0.25315584595000001</cx:pt>
          <cx:pt idx="98">0.25206844951500001</cx:pt>
          <cx:pt idx="99">0.22734017460200001</cx:pt>
          <cx:pt idx="100">0.23460814717600001</cx:pt>
          <cx:pt idx="101">0.23495303662899999</cx:pt>
          <cx:pt idx="102">0.21621797771099999</cx:pt>
          <cx:pt idx="103">0.21909999999999999</cx:pt>
          <cx:pt idx="104">0.17234972640799998</cx:pt>
          <cx:pt idx="105">0.18589693372799998</cx:pt>
          <cx:pt idx="106">0.18206659542299999</cx:pt>
          <cx:pt idx="107">0.16907138953099998</cx:pt>
          <cx:pt idx="110">0.29772609564899999</cx:pt>
          <cx:pt idx="111">0.26211834500300002</cx:pt>
          <cx:pt idx="112">0.26442067869199998</cx:pt>
          <cx:pt idx="113">0.24426982098900002</cx:pt>
          <cx:pt idx="114">0.248349088947</cx:pt>
          <cx:pt idx="115">0.245</cx:pt>
          <cx:pt idx="116">0.22003269293900002</cx:pt>
          <cx:pt idx="117">0.21583613347499997</cx:pt>
          <cx:pt idx="118">0.21835312807200002</cx:pt>
          <cx:pt idx="119">0.21399444124399999</cx:pt>
          <cx:pt idx="120">0.20620547547499998</cx:pt>
          <cx:pt idx="121">0.186412779734</cx:pt>
          <cx:pt idx="122">0.18646534479100002</cx:pt>
          <cx:pt idx="123">0.17984148338200001</cx:pt>
          <cx:pt idx="124">0.17758895787499998</cx:pt>
          <cx:pt idx="125">0.17999999999999999</cx:pt>
          <cx:pt idx="126">0.15740204907300001</cx:pt>
          <cx:pt idx="127">0.16737007934099998</cx:pt>
          <cx:pt idx="128">0.152664931207</cx:pt>
          <cx:pt idx="129">0.14760735433900002</cx:pt>
          <cx:pt idx="132">0.35335657205499998</cx:pt>
          <cx:pt idx="133">0.34461166797600001</cx:pt>
          <cx:pt idx="134">0.33004486307999997</cx:pt>
          <cx:pt idx="135">0.34493191186200001</cx:pt>
          <cx:pt idx="136">0.31621111671300001</cx:pt>
          <cx:pt idx="137">0.30510000000000004</cx:pt>
          <cx:pt idx="138">0.29421652993799996</cx:pt>
          <cx:pt idx="139">0.29589197257399996</cx:pt>
          <cx:pt idx="140">0.28399978263000003</cx:pt>
          <cx:pt idx="141">0.27294735095699996</cx:pt>
          <cx:pt idx="142">0.27374209872700001</cx:pt>
          <cx:pt idx="143">0.26226765058099999</cx:pt>
          <cx:pt idx="144">0.23430737207100003</cx:pt>
          <cx:pt idx="145">0.24329119421500001</cx:pt>
          <cx:pt idx="146">0.23351073235600001</cx:pt>
          <cx:pt idx="147">0.22920000000000001</cx:pt>
          <cx:pt idx="148">0.19308723104700001</cx:pt>
          <cx:pt idx="149">0.18834695958100001</cx:pt>
          <cx:pt idx="150">0.197218238884</cx:pt>
          <cx:pt idx="151">0.20212683291800002</cx:pt>
          <cx:pt idx="154">0.29579950517499998</cx:pt>
          <cx:pt idx="155">0.28497700607499998</cx:pt>
          <cx:pt idx="156">0.27204108689000001</cx:pt>
          <cx:pt idx="157">0.26680846529800001</cx:pt>
          <cx:pt idx="158">0.25519635439900001</cx:pt>
          <cx:pt idx="159">0.25429999999999997</cx:pt>
          <cx:pt idx="160">0.24184897111400003</cx:pt>
          <cx:pt idx="161">0.22683337702599998</cx:pt>
          <cx:pt idx="162">0.233983743524</cx:pt>
          <cx:pt idx="163">0.22286939686599999</cx:pt>
          <cx:pt idx="164">0.21468148953299998</cx:pt>
          <cx:pt idx="165">0.21813821497399999</cx:pt>
          <cx:pt idx="166">0.19564678349699999</cx:pt>
          <cx:pt idx="167">0.19992646895899999</cx:pt>
          <cx:pt idx="168">0.18135668584800002</cx:pt>
          <cx:pt idx="169">0.18539999999999998</cx:pt>
          <cx:pt idx="170">0.15844018225299999</cx:pt>
          <cx:pt idx="171">0.16041606912799999</cx:pt>
          <cx:pt idx="172">0.171661370476</cx:pt>
          <cx:pt idx="173">0.162090076735</cx:pt>
          <cx:pt idx="176">0.26210826495100004</cx:pt>
          <cx:pt idx="177">0.25270506604499998</cx:pt>
          <cx:pt idx="178">0.25357264867899998</cx:pt>
          <cx:pt idx="179">0.24074298328899998</cx:pt>
          <cx:pt idx="180">0.23942750433099999</cx:pt>
          <cx:pt idx="181">0.25159999999999999</cx:pt>
          <cx:pt idx="182">0.21427991938000002</cx:pt>
          <cx:pt idx="183">0.202471672213</cx:pt>
          <cx:pt idx="184">0.19153384006800001</cx:pt>
          <cx:pt idx="185">0.19378633736600001</cx:pt>
          <cx:pt idx="186">0.19673289784800002</cx:pt>
          <cx:pt idx="187">0.18219495941600003</cx:pt>
          <cx:pt idx="188">0.167681874078</cx:pt>
          <cx:pt idx="189">0.16874638465099998</cx:pt>
          <cx:pt idx="190">0.162913581207</cx:pt>
          <cx:pt idx="191">0.184</cx:pt>
          <cx:pt idx="192">0.15981520407399999</cx:pt>
          <cx:pt idx="193">0.16307990567699998</cx:pt>
          <cx:pt idx="194">0.16929658641700002</cx:pt>
          <cx:pt idx="195">0.171456556408</cx:pt>
        </cx:lvl>
      </cx:numDim>
    </cx:data>
    <cx:data id="2">
      <cx:numDim type="val">
        <cx:f>Tx_Analfabetismo!$D$4:$D$157</cx:f>
        <cx:lvl ptCount="154" formatCode="Geral">
          <cx:pt idx="0">0.15808211903300001</cx:pt>
          <cx:pt idx="1">0.179861178403</cx:pt>
          <cx:pt idx="2">0.184954264906</cx:pt>
          <cx:pt idx="3">0.144940798048</cx:pt>
          <cx:pt idx="4">0.15648802580099999</cx:pt>
          <cx:pt idx="5">0.24489999999999998</cx:pt>
          <cx:pt idx="6">0.167272177982</cx:pt>
          <cx:pt idx="7">0.129762611276</cx:pt>
          <cx:pt idx="8">0.16863655023500002</cx:pt>
          <cx:pt idx="9">0.18081260200799998</cx:pt>
          <cx:pt idx="10">0.210469239591</cx:pt>
          <cx:pt idx="11">0.17491622499999998</cx:pt>
          <cx:pt idx="12">0.15693886226199999</cx:pt>
          <cx:pt idx="13">0.14884066881300001</cx:pt>
          <cx:pt idx="14">0.16353971297699998</cx:pt>
          <cx:pt idx="15">0.1648</cx:pt>
          <cx:pt idx="16">0.14382577103799998</cx:pt>
          <cx:pt idx="17">0.134617157786</cx:pt>
          <cx:pt idx="18">0.14606067086499999</cx:pt>
          <cx:pt idx="19">0.13079072485400001</cx:pt>
          <cx:pt idx="22">0.102106772451</cx:pt>
          <cx:pt idx="23">0.093861816246000013</cx:pt>
          <cx:pt idx="24">0.095040744283999987</cx:pt>
          <cx:pt idx="25">0.084499361059000008</cx:pt>
          <cx:pt idx="26">0.087517791312999998</cx:pt>
          <cx:pt idx="27">0.155</cx:pt>
          <cx:pt idx="28">0.077422146513000001</cx:pt>
          <cx:pt idx="29">0.063298144934999995</cx:pt>
          <cx:pt idx="30">0.066086843668000009</cx:pt>
          <cx:pt idx="31">0.089933237846999997</cx:pt>
          <cx:pt idx="32">0.066861385161999992</cx:pt>
          <cx:pt idx="33">0.078321306755</cx:pt>
          <cx:pt idx="34">0.079404806787000001</cx:pt>
          <cx:pt idx="35">0.088127607726000007</cx:pt>
          <cx:pt idx="36">0.073123490471000002</cx:pt>
          <cx:pt idx="37">0.098400000000000001</cx:pt>
          <cx:pt idx="38">0.083530638845999997</cx:pt>
          <cx:pt idx="39">0.082694172310000008</cx:pt>
          <cx:pt idx="40">0.073377616869000004</cx:pt>
          <cx:pt idx="41">0.062044413632999999</cx:pt>
          <cx:pt idx="44">0.10721624875499999</cx:pt>
          <cx:pt idx="45">0.12902536943699999</cx:pt>
          <cx:pt idx="46">0.116811210517</cx:pt>
          <cx:pt idx="47">0.091285540620999986</cx:pt>
          <cx:pt idx="48">0.095588979455</cx:pt>
          <cx:pt idx="49">0.121</cx:pt>
          <cx:pt idx="50">0.071596160892999999</cx:pt>
          <cx:pt idx="51">0.061531907023000001</cx:pt>
          <cx:pt idx="52">0.092114888657000002</cx:pt>
          <cx:pt idx="53">0.084770154326999997</cx:pt>
          <cx:pt idx="54">0.074329088722000003</cx:pt>
          <cx:pt idx="55">0.053370056261999997</cx:pt>
          <cx:pt idx="56">0.071703330018999992</cx:pt>
          <cx:pt idx="57">0.046666906873</cx:pt>
          <cx:pt idx="58">0.032610772735000002</cx:pt>
          <cx:pt idx="59">0.084000000000000005</cx:pt>
          <cx:pt idx="60">0.075984374031000002</cx:pt>
          <cx:pt idx="61">0.067230251685000006</cx:pt>
          <cx:pt idx="62">0.059667458249000001</cx:pt>
          <cx:pt idx="63">0.042157366980999998</cx:pt>
          <cx:pt idx="66">0.128306104882</cx:pt>
          <cx:pt idx="67">0.124881939791</cx:pt>
          <cx:pt idx="68">0.13119366539300001</cx:pt>
          <cx:pt idx="69">0.137042837217</cx:pt>
          <cx:pt idx="70">0.12482899537599999</cx:pt>
          <cx:pt idx="71">0.16769999999999999</cx:pt>
          <cx:pt idx="72">0.11012853459800001</cx:pt>
          <cx:pt idx="73">0.10551395643799999</cx:pt>
          <cx:pt idx="74">0.10497426499</cx:pt>
          <cx:pt idx="75">0.14523531390700001</cx:pt>
          <cx:pt idx="76">0.13318753033399999</cx:pt>
          <cx:pt idx="77">0.13219074089299998</cx:pt>
          <cx:pt idx="78">0.12591210736800001</cx:pt>
          <cx:pt idx="79">0.12408943469100001</cx:pt>
          <cx:pt idx="80">0.127316510465</cx:pt>
          <cx:pt idx="81">0.1174</cx:pt>
          <cx:pt idx="82">0.10607161143400001</cx:pt>
          <cx:pt idx="83">0.10507332484000001</cx:pt>
          <cx:pt idx="84">0.100528951408</cx:pt>
          <cx:pt idx="85">0.099680406365000002</cx:pt>
          <cx:pt idx="88">0.091437592086000011</cx:pt>
          <cx:pt idx="89">0.076051136364000002</cx:pt>
          <cx:pt idx="90">0.102021536059</cx:pt>
          <cx:pt idx="91">0.075838215754000002</cx:pt>
          <cx:pt idx="92">0.096860151315999996</cx:pt>
          <cx:pt idx="93">0.12970000000000001</cx:pt>
          <cx:pt idx="94">0.101902790856</cx:pt>
          <cx:pt idx="95">0.086239826839</cx:pt>
          <cx:pt idx="96">0.085527353569</cx:pt>
          <cx:pt idx="97">0.10525310052800001</cx:pt>
          <cx:pt idx="98">0.099118562771999999</cx:pt>
          <cx:pt idx="99">0.106392308898</cx:pt>
          <cx:pt idx="100">0.094969870575999996</cx:pt>
          <cx:pt idx="101">0.091904673653999999</cx:pt>
          <cx:pt idx="102">0.09811070241</cx:pt>
          <cx:pt idx="103">0.087300000000000003</cx:pt>
          <cx:pt idx="104">0.097361206168999986</cx:pt>
          <cx:pt idx="105">0.085720586093000012</cx:pt>
          <cx:pt idx="106">0.085580274208000004</cx:pt>
          <cx:pt idx="107">0.083352947470000008</cx:pt>
          <cx:pt idx="110">0.091682199441000006</cx:pt>
          <cx:pt idx="111">0.069391373731000003</cx:pt>
          <cx:pt idx="112">0.118592616919</cx:pt>
          <cx:pt idx="113">0.082693165485000011</cx:pt>
          <cx:pt idx="114">0.08728198218399999</cx:pt>
          <cx:pt idx="115">0.13489999999999999</cx:pt>
          <cx:pt idx="116">0.114805627201</cx:pt>
          <cx:pt idx="117">0.12052052955500001</cx:pt>
          <cx:pt idx="118">0.096682321023999998</cx:pt>
          <cx:pt idx="119">0.10697960235499999</cx:pt>
          <cx:pt idx="120">0.12530303977899998</cx:pt>
          <cx:pt idx="121">0.088133777890000001</cx:pt>
          <cx:pt idx="122">0.110011489904</cx:pt>
          <cx:pt idx="123">0.096853781443999989</cx:pt>
          <cx:pt idx="124">0.077559630049999995</cx:pt>
          <cx:pt idx="125">0.1033</cx:pt>
          <cx:pt idx="126">0.096231294246999999</cx:pt>
          <cx:pt idx="127">0.073914017351999997</cx:pt>
          <cx:pt idx="128">0.098064297990999999</cx:pt>
          <cx:pt idx="129">0.074681757804000007</cx:pt>
          <cx:pt idx="132">0.24420915231699999</cx:pt>
          <cx:pt idx="133">0.20884051144099999</cx:pt>
          <cx:pt idx="134">0.23721204486699998</cx:pt>
          <cx:pt idx="135">0.220149158466</cx:pt>
          <cx:pt idx="136">0.211368071194</cx:pt>
          <cx:pt idx="137">0.18780000000000002</cx:pt>
          <cx:pt idx="138">0.18489611268699999</cx:pt>
          <cx:pt idx="139">0.18117778461600001</cx:pt>
          <cx:pt idx="140">0.17622490258500001</cx:pt>
          <cx:pt idx="141">0.17239341063299998</cx:pt>
          <cx:pt idx="142">0.163019989941</cx:pt>
          <cx:pt idx="143">0.14927019614299999</cx:pt>
          <cx:pt idx="144">0.142074109802</cx:pt>
          <cx:pt idx="145">0.14380683906299999</cx:pt>
          <cx:pt idx="146">0.135418477555</cx:pt>
          <cx:pt idx="147">0.13089999999999999</cx:pt>
          <cx:pt idx="148">0.12165590099399999</cx:pt>
          <cx:pt idx="149">0.134034682539</cx:pt>
          <cx:pt idx="150">0.122446525843</cx:pt>
          <cx:pt idx="151">0.12151294147899999</cx:pt>
        </cx:lvl>
      </cx:numDim>
    </cx:data>
    <cx:data id="3">
      <cx:numDim type="val">
        <cx:f>Tx_Analfabetismo!$E$4:$E$91</cx:f>
        <cx:lvl ptCount="88" formatCode="Geral">
          <cx:pt idx="0">0.14128133722799999</cx:pt>
          <cx:pt idx="1">0.140882575013</cx:pt>
          <cx:pt idx="2">0.13799725553600001</cx:pt>
          <cx:pt idx="3">0.12046663970599999</cx:pt>
          <cx:pt idx="4">0.11131122536099999</cx:pt>
          <cx:pt idx="5">0.1167</cx:pt>
          <cx:pt idx="6">0.114534096815</cx:pt>
          <cx:pt idx="7">0.107027037336</cx:pt>
          <cx:pt idx="8">0.10264118122999999</cx:pt>
          <cx:pt idx="9">0.094904369388000009</cx:pt>
          <cx:pt idx="10">0.086886914998999989</cx:pt>
          <cx:pt idx="11">0.094929263114999995</cx:pt>
          <cx:pt idx="12">0.085115487322</cx:pt>
          <cx:pt idx="13">0.088144515610000002</cx:pt>
          <cx:pt idx="14">0.085288241165999992</cx:pt>
          <cx:pt idx="15">0.081199999999999994</cx:pt>
          <cx:pt idx="16">0.063770924519000002</cx:pt>
          <cx:pt idx="17">0.067340577346999997</cx:pt>
          <cx:pt idx="18">0.065925705752000005</cx:pt>
          <cx:pt idx="19">0.065492330444999997</cx:pt>
          <cx:pt idx="22">0.140972933385</cx:pt>
          <cx:pt idx="23">0.128455488289</cx:pt>
          <cx:pt idx="24">0.13155828878</cx:pt>
          <cx:pt idx="25">0.12617941019099999</cx:pt>
          <cx:pt idx="26">0.121677918925</cx:pt>
          <cx:pt idx="27">0.11960000000000001</cx:pt>
          <cx:pt idx="28">0.116838535826</cx:pt>
          <cx:pt idx="29">0.110636370801</cx:pt>
          <cx:pt idx="30">0.11058029798499999</cx:pt>
          <cx:pt idx="31">0.099060922157999998</cx:pt>
          <cx:pt idx="32">0.100900956615</cx:pt>
          <cx:pt idx="33">0.090805171668000007</cx:pt>
          <cx:pt idx="34">0.089327239658999996</cx:pt>
          <cx:pt idx="35">0.086778573262000003</cx:pt>
          <cx:pt idx="36">0.085646451573999999</cx:pt>
          <cx:pt idx="37">0.083100000000000007</cx:pt>
          <cx:pt idx="38">0.078774869147999999</cx:pt>
          <cx:pt idx="39">0.073629653500000003</cx:pt>
          <cx:pt idx="40">0.076012613219000005</cx:pt>
          <cx:pt idx="41">0.070612717771000005</cx:pt>
          <cx:pt idx="44">0.068323800596000003</cx:pt>
          <cx:pt idx="45">0.063443360793000003</cx:pt>
          <cx:pt idx="46">0.065596762454999999</cx:pt>
          <cx:pt idx="47">0.059321863338999997</cx:pt>
          <cx:pt idx="48">0.060175330316000003</cx:pt>
          <cx:pt idx="49">0.066400000000000001</cx:pt>
          <cx:pt idx="50">0.056397685440999996</cx:pt>
          <cx:pt idx="51">0.05146399711</cx:pt>
          <cx:pt idx="52">0.046660959156999998</cx:pt>
          <cx:pt idx="53">0.048652321265999998</cx:pt>
          <cx:pt idx="54">0.048778812320000003</cx:pt>
          <cx:pt idx="55">0.042499564000000004</cx:pt>
          <cx:pt idx="56">0.043913103619999998</cx:pt>
          <cx:pt idx="57">0.044412791513999995</cx:pt>
          <cx:pt idx="58">0.039684321936000001</cx:pt>
          <cx:pt idx="59">0.042699999999999995</cx:pt>
          <cx:pt idx="60">0.03672093958</cx:pt>
          <cx:pt idx="61">0.037896645987000002</cx:pt>
          <cx:pt idx="62">0.037361420430999999</cx:pt>
          <cx:pt idx="63">0.032069499508999996</cx:pt>
          <cx:pt idx="66">0.076872462985000001</cx:pt>
          <cx:pt idx="67">0.073537563318999993</cx:pt>
          <cx:pt idx="68">0.067957824390000005</cx:pt>
          <cx:pt idx="69">0.065748733697000003</cx:pt>
          <cx:pt idx="70">0.061728338487999995</cx:pt>
          <cx:pt idx="71">0.066400000000000001</cx:pt>
          <cx:pt idx="72">0.059821659888000006</cx:pt>
          <cx:pt idx="73">0.058598899853</cx:pt>
          <cx:pt idx="74">0.054104019739000003</cx:pt>
          <cx:pt idx="75">0.055194325834000003</cx:pt>
          <cx:pt idx="76">0.054086223891999997</cx:pt>
          <cx:pt idx="77">0.049784106168999996</cx:pt>
          <cx:pt idx="78">0.046077501993000002</cx:pt>
          <cx:pt idx="79">0.047445863843000001</cx:pt>
          <cx:pt idx="80">0.047493365927999999</cx:pt>
          <cx:pt idx="81">0.043200000000000002</cx:pt>
          <cx:pt idx="82">0.036668445790000004</cx:pt>
          <cx:pt idx="83">0.038068037648</cx:pt>
          <cx:pt idx="84">0.037101335291000001</cx:pt>
          <cx:pt idx="85">0.037594587201</cx:pt>
        </cx:lvl>
      </cx:numDim>
    </cx:data>
    <cx:data id="4">
      <cx:numDim type="val">
        <cx:f>Tx_Analfabetismo!$F$4:$F$69</cx:f>
        <cx:lvl ptCount="66" formatCode="Geral">
          <cx:pt idx="0">0.11554368145499999</cx:pt>
          <cx:pt idx="1">0.11629681317099999</cx:pt>
          <cx:pt idx="2">0.10611938383</cx:pt>
          <cx:pt idx="3">0.104471970065</cx:pt>
          <cx:pt idx="4">0.10192804073</cx:pt>
          <cx:pt idx="5">0.095299999999999996</cx:pt>
          <cx:pt idx="6">0.086313361369999994</cx:pt>
          <cx:pt idx="7">0.078853073703000001</cx:pt>
          <cx:pt idx="8">0.078151442500000001</cx:pt>
          <cx:pt idx="9">0.079850575066999996</cx:pt>
          <cx:pt idx="10">0.071233563983000001</cx:pt>
          <cx:pt idx="11">0.065604863422000004</cx:pt>
          <cx:pt idx="12">0.065962896852999997</cx:pt>
          <cx:pt idx="13">0.065804643709999999</cx:pt>
          <cx:pt idx="14">0.067045614788999994</cx:pt>
          <cx:pt idx="15">0.062800000000000009</cx:pt>
          <cx:pt idx="16">0.062744441935000006</cx:pt>
          <cx:pt idx="17">0.052673350673000004</cx:pt>
          <cx:pt idx="18">0.053301686698999998</cx:pt>
          <cx:pt idx="19">0.049547870242999996</cx:pt>
          <cx:pt idx="22">0.078385742415000001</cx:pt>
          <cx:pt idx="23">0.072093142200000002</cx:pt>
          <cx:pt idx="24">0.070253600749</cx:pt>
          <cx:pt idx="25">0.068156606401999997</cx:pt>
          <cx:pt idx="26">0.060592609867999997</cx:pt>
          <cx:pt idx="27">0.066500000000000004</cx:pt>
          <cx:pt idx="28">0.062390749131999997</cx:pt>
          <cx:pt idx="29">0.063023246011999989</cx:pt>
          <cx:pt idx="30">0.057658942078999999</cx:pt>
          <cx:pt idx="31">0.054867656252000005</cx:pt>
          <cx:pt idx="32">0.052161054025</cx:pt>
          <cx:pt idx="33">0.052288382538</cx:pt>
          <cx:pt idx="34">0.049890078381</cx:pt>
          <cx:pt idx="35">0.049673876052</cx:pt>
          <cx:pt idx="36">0.045973478833</cx:pt>
          <cx:pt idx="37">0.045199999999999997</cx:pt>
          <cx:pt idx="38">0.042682947652000001</cx:pt>
          <cx:pt idx="39">0.042568471460999999</cx:pt>
          <cx:pt idx="40">0.044251165611000003</cx:pt>
          <cx:pt idx="41">0.044663589774</cx:pt>
          <cx:pt idx="44">0.074330564931000001</cx:pt>
          <cx:pt idx="45">0.073204779758999999</cx:pt>
          <cx:pt idx="46">0.066204592344000002</cx:pt>
          <cx:pt idx="47">0.064364782226000006</cx:pt>
          <cx:pt idx="48">0.068268820413000003</cx:pt>
          <cx:pt idx="49">0.063200000000000006</cx:pt>
          <cx:pt idx="50">0.059350038328999995</cx:pt>
          <cx:pt idx="51">0.055029410209999997</cx:pt>
          <cx:pt idx="52">0.049992093296000004</cx:pt>
          <cx:pt idx="53">0.047936561727000004</cx:pt>
          <cx:pt idx="54">0.051666327083000001</cx:pt>
          <cx:pt idx="55">0.050583880490000004</cx:pt>
          <cx:pt idx="56">0.044073946656</cx:pt>
          <cx:pt idx="57">0.044116739116000003</cx:pt>
          <cx:pt idx="58">0.049120921982</cx:pt>
          <cx:pt idx="59">0.041299999999999996</cx:pt>
          <cx:pt idx="60">0.038780327864</cx:pt>
          <cx:pt idx="61">0.031504909493999998</cx:pt>
          <cx:pt idx="62">0.035238056614999999</cx:pt>
          <cx:pt idx="63">0.033408067857999997</cx:pt>
        </cx:lvl>
      </cx:numDim>
    </cx:data>
  </cx:chartData>
  <cx:chart>
    <cx:plotArea>
      <cx:plotAreaRegion>
        <cx:series layoutId="boxWhisker" uniqueId="{AC8957EB-073C-DA48-8AA4-BC1C838B0048}">
          <cx:tx>
            <cx:txData>
              <cx:f>Tx_Analfabetismo!$B$3</cx:f>
              <cx:v>Centro-Oeste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79"/>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Tx_Analfabetismo!$C$3</cx:f>
              <cx:v>Nordeste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79"/>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Tx_Analfabetismo!$D$3</cx:f>
              <cx:v>Norte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35"/>
            <cx:dataLabelHidden idx="136"/>
            <cx:dataLabelHidden idx="137"/>
            <cx:dataLabelHidden idx="138"/>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Tx_Analfabetismo!$E$3</cx:f>
              <cx:v>Sudeste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79"/>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Tx_Analfabetismo!$F$3</cx:f>
              <cx:v>Sul</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55"/>
            <cx:dataLabelHidden idx="56"/>
            <cx:dataLabelHidden idx="58"/>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8.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Tx_Mortalidade_Infantil!$B$4:$B$91</cx:f>
        <cx:lvl ptCount="88" formatCode="Geral">
          <cx:pt idx="0">21.62417705561003</cx:pt>
          <cx:pt idx="1">19.869649462744405</cx:pt>
          <cx:pt idx="2">19.48461158516853</cx:pt>
          <cx:pt idx="3">18.706600853342255</cx:pt>
          <cx:pt idx="4">17.506720430107524</cx:pt>
          <cx:pt idx="5">16.87320108236673</cx:pt>
          <cx:pt idx="6">17.924255565192251</cx:pt>
          <cx:pt idx="7">15.945289300818862</cx:pt>
          <cx:pt idx="8">15.705595674291203</cx:pt>
          <cx:pt idx="9">15.873871930392264</cx:pt>
          <cx:pt idx="10">15.510116460044008</cx:pt>
          <cx:pt idx="11">14.629388816644992</cx:pt>
          <cx:pt idx="12">13.254622410336378</cx:pt>
          <cx:pt idx="13">13.43435276725492</cx:pt>
          <cx:pt idx="14">13.435311463324734</cx:pt>
          <cx:pt idx="15">13.789979161003895</cx:pt>
          <cx:pt idx="16">12.960741841356224</cx:pt>
          <cx:pt idx="17">13.401018832425141</cx:pt>
          <cx:pt idx="18">13.612529082890578</cx:pt>
          <cx:pt idx="19">12.680575124344328</cx:pt>
          <cx:pt idx="20">11.079635930873799</cx:pt>
          <cx:pt idx="21">11.377459749552774</cx:pt>
          <cx:pt idx="22">19.365620289665117</cx:pt>
          <cx:pt idx="23">16.027882299401728</cx:pt>
          <cx:pt idx="24">17.49517106636176</cx:pt>
          <cx:pt idx="25">17.306372300802305</cx:pt>
          <cx:pt idx="26">17.572205252792092</cx:pt>
          <cx:pt idx="27">15.659063738015425</cx:pt>
          <cx:pt idx="28">15.035380829595091</cx:pt>
          <cx:pt idx="29">16.217815921870375</cx:pt>
          <cx:pt idx="30">16.155441545682788</cx:pt>
          <cx:pt idx="31">16.743832831140836</cx:pt>
          <cx:pt idx="32">15.203011365712824</cx:pt>
          <cx:pt idx="33">14.752262399752841</cx:pt>
          <cx:pt idx="34">14.229249011857707</cx:pt>
          <cx:pt idx="35">14.174662630201652</cx:pt>
          <cx:pt idx="36">13.34640034042992</cx:pt>
          <cx:pt idx="37">12.552084009397838</cx:pt>
          <cx:pt idx="38">14.145796695891043</cx:pt>
          <cx:pt idx="39">14.287124315254403</cx:pt>
          <cx:pt idx="40">13.870316792686781</cx:pt>
          <cx:pt idx="41">12.488993929283099</cx:pt>
          <cx:pt idx="42">12.489592006661116</cx:pt>
          <cx:pt idx="43">12.989653728843969</cx:pt>
          <cx:pt idx="44">28.650687971593431</cx:pt>
          <cx:pt idx="45">27.466820542412002</cx:pt>
          <cx:pt idx="46">25.87621005937666</cx:pt>
          <cx:pt idx="47">25.040136103323512</cx:pt>
          <cx:pt idx="48">24.691655424937366</cx:pt>
          <cx:pt idx="49">23.859666509749513</cx:pt>
          <cx:pt idx="50">23.836350434412481</cx:pt>
          <cx:pt idx="51">20.255703183755326</cx:pt>
          <cx:pt idx="52">19.777408212869386</cx:pt>
          <cx:pt idx="53">21.170670404562809</cx:pt>
          <cx:pt idx="54">19.136778115501521</cx:pt>
          <cx:pt idx="55">18.774326490116767</cx:pt>
          <cx:pt idx="56">19.229767054041378</cx:pt>
          <cx:pt idx="57">16.421001339992689</cx:pt>
          <cx:pt idx="58">17.984441831961782</cx:pt>
          <cx:pt idx="59">15.550810199723653</cx:pt>
          <cx:pt idx="60">12.988876928597058</cx:pt>
          <cx:pt idx="61">12.990734549622696</cx:pt>
          <cx:pt idx="62">12.727142481912177</cx:pt>
          <cx:pt idx="63">12.732862255666697</cx:pt>
          <cx:pt idx="64">11.794343295545632</cx:pt>
          <cx:pt idx="65">12.782975076769263</cx:pt>
          <cx:pt idx="66">16.198394495412845</cx:pt>
          <cx:pt idx="67">18.473202824133505</cx:pt>
          <cx:pt idx="68">18.379131819992036</cx:pt>
          <cx:pt idx="69">21.651519513097831</cx:pt>
          <cx:pt idx="70">20.848340159295315</cx:pt>
          <cx:pt idx="71">22.125058197202485</cx:pt>
          <cx:pt idx="72">20.544060497846868</cx:pt>
          <cx:pt idx="73">19.855898123324398</cx:pt>
          <cx:pt idx="74">17.722248523145957</cx:pt>
          <cx:pt idx="75">18.181107288082575</cx:pt>
          <cx:pt idx="76">17.814136626017813</cx:pt>
          <cx:pt idx="77">16.146982052164059</cx:pt>
          <cx:pt idx="78">15.425250924458531</cx:pt>
          <cx:pt idx="79">15.17282958199357</cx:pt>
          <cx:pt idx="80">15.654041551360953</cx:pt>
          <cx:pt idx="81">14.501659088116012</cx:pt>
          <cx:pt idx="82">14.090838023764853</cx:pt>
          <cx:pt idx="83">13.574306615029535</cx:pt>
          <cx:pt idx="84">14.318366421730671</cx:pt>
          <cx:pt idx="85">14.347533075586139</cx:pt>
          <cx:pt idx="86">13.38820495610859</cx:pt>
          <cx:pt idx="87">13.515540059235933</cx:pt>
        </cx:lvl>
      </cx:numDim>
    </cx:data>
    <cx:data id="1">
      <cx:numDim type="val">
        <cx:f>Tx_Mortalidade_Infantil!$C$4:$C$201</cx:f>
        <cx:lvl ptCount="198" formatCode="Geral">
          <cx:pt idx="0">34.408993673478676</cx:pt>
          <cx:pt idx="1">27.419882530730522</cx:pt>
          <cx:pt idx="2">27.954528114747845</cx:pt>
          <cx:pt idx="3">45.821933870085203</cx:pt>
          <cx:pt idx="4">31.597297886249731</cx:pt>
          <cx:pt idx="5">31.369560483996391</cx:pt>
          <cx:pt idx="6">31.752502604520544</cx:pt>
          <cx:pt idx="7">29.661084087272037</cx:pt>
          <cx:pt idx="8">26.947327261767054</cx:pt>
          <cx:pt idx="9">24.154505241893354</cx:pt>
          <cx:pt idx="10">23.783363478084485</cx:pt>
          <cx:pt idx="11">21.244282447112635</cx:pt>
          <cx:pt idx="12">21.015038943325795</cx:pt>
          <cx:pt idx="13">18.043282713371077</cx:pt>
          <cx:pt idx="14">18.575049490296202</cx:pt>
          <cx:pt idx="15">16.681814739074454</cx:pt>
          <cx:pt idx="16">15.596192196259922</cx:pt>
          <cx:pt idx="17">15.213552480934547</cx:pt>
          <cx:pt idx="18">16.119321823231246</cx:pt>
          <cx:pt idx="19">15.249174658072631</cx:pt>
          <cx:pt idx="20">14.698497315254761</cx:pt>
          <cx:pt idx="21">14.035457999155762</cx:pt>
          <cx:pt idx="22">37.4026550582374</cx:pt>
          <cx:pt idx="23">25.569205319856092</cx:pt>
          <cx:pt idx="24">19.773691408461744</cx:pt>
          <cx:pt idx="25">21.722693715965374</cx:pt>
          <cx:pt idx="26">22.339156841289942</cx:pt>
          <cx:pt idx="27">25.948383533184664</cx:pt>
          <cx:pt idx="28">23.704506607745863</cx:pt>
          <cx:pt idx="29">22.657570257244789</cx:pt>
          <cx:pt idx="30">22.569914275127296</cx:pt>
          <cx:pt idx="31">21.666801225476657</cx:pt>
          <cx:pt idx="32">21.172974180137775</cx:pt>
          <cx:pt idx="33">21.070409306022182</cx:pt>
          <cx:pt idx="34">19.10845228288612</cx:pt>
          <cx:pt idx="35">17.869082717428864</cx:pt>
          <cx:pt idx="36">17.972254813996823</cx:pt>
          <cx:pt idx="37">17.367835412770191</cx:pt>
          <cx:pt idx="38">16.00218511297599</cx:pt>
          <cx:pt idx="39">16.143987173667384</cx:pt>
          <cx:pt idx="40">16.337977563974611</cx:pt>
          <cx:pt idx="41">15.49632955527521</cx:pt>
          <cx:pt idx="42">14.377567860063563</cx:pt>
          <cx:pt idx="43">15.130111899260395</cx:pt>
          <cx:pt idx="44">34.992976169446756</cx:pt>
          <cx:pt idx="45">37.422800013648619</cx:pt>
          <cx:pt idx="46">32.087179146653682</cx:pt>
          <cx:pt idx="47">29.832149404216317</cx:pt>
          <cx:pt idx="48">28.842850632733903</cx:pt>
          <cx:pt idx="49">26.796247401831359</cx:pt>
          <cx:pt idx="50">21.412744242261464</cx:pt>
          <cx:pt idx="51">24.435919473967395</cx:pt>
          <cx:pt idx="52">25.291856593744193</cx:pt>
          <cx:pt idx="53">22.656949611584746</cx:pt>
          <cx:pt idx="54">18.490522983014102</cx:pt>
          <cx:pt idx="55">18.193257096332484</cx:pt>
          <cx:pt idx="56">16.146120901914554</cx:pt>
          <cx:pt idx="57">15.731409859543648</cx:pt>
          <cx:pt idx="58">15.512254528847619</cx:pt>
          <cx:pt idx="59">13.126861966236348</cx:pt>
          <cx:pt idx="60">13.771342861361747</cx:pt>
          <cx:pt idx="61">12.7467364570852</cx:pt>
          <cx:pt idx="62">13.893110233071521</cx:pt>
          <cx:pt idx="63">12.326608552554976</cx:pt>
          <cx:pt idx="64">12.138244889655743</cx:pt>
          <cx:pt idx="65">12.763398403190454</cx:pt>
          <cx:pt idx="66">20.132858309211013</cx:pt>
          <cx:pt idx="67">17.282732576930275</cx:pt>
          <cx:pt idx="68">15.982202568617012</cx:pt>
          <cx:pt idx="69">18.856336408540891</cx:pt>
          <cx:pt idx="70">15.8041853989308</cx:pt>
          <cx:pt idx="71">18.128084821156541</cx:pt>
          <cx:pt idx="72">19.281233246489403</cx:pt>
          <cx:pt idx="73">19.581311568659562</cx:pt>
          <cx:pt idx="74">18.432410520542717</cx:pt>
          <cx:pt idx="75">16.780664281734271</cx:pt>
          <cx:pt idx="76">18.240879560219891</cx:pt>
          <cx:pt idx="77">16.868297828136736</cx:pt>
          <cx:pt idx="78">16.373584058017521</cx:pt>
          <cx:pt idx="79">15.776534890566699</cx:pt>
          <cx:pt idx="80">15.888868712547668</cx:pt>
          <cx:pt idx="81">15.070959813618481</cx:pt>
          <cx:pt idx="82">15.657954679669967</cx:pt>
          <cx:pt idx="83">14.350161494172166</cx:pt>
          <cx:pt idx="84">16.087453380934242</cx:pt>
          <cx:pt idx="85">15.316527096802186</cx:pt>
          <cx:pt idx="86">14.953448439508858</cx:pt>
          <cx:pt idx="87">14.704662926006799</cx:pt>
          <cx:pt idx="88">82.473039874122122</cx:pt>
          <cx:pt idx="89">38.479341504155848</cx:pt>
          <cx:pt idx="90">41.054194506310324</cx:pt>
          <cx:pt idx="91">29.66618397987958</cx:pt>
          <cx:pt idx="92">26.152337365152011</cx:pt>
          <cx:pt idx="93">32.349023474665699</cx:pt>
          <cx:pt idx="94">21.049724604550544</cx:pt>
          <cx:pt idx="95">23.199348350512235</cx:pt>
          <cx:pt idx="96">21.909503541643762</cx:pt>
          <cx:pt idx="97">20.874525947295066</cx:pt>
          <cx:pt idx="98">18.893536421750454</cx:pt>
          <cx:pt idx="99">18.144037301707971</cx:pt>
          <cx:pt idx="100">18.478335744299788</cx:pt>
          <cx:pt idx="101">16.64300102367665</cx:pt>
          <cx:pt idx="102">14.759959141981613</cx:pt>
          <cx:pt idx="103">14.494011456344385</cx:pt>
          <cx:pt idx="104">14.103007258900796</cx:pt>
          <cx:pt idx="105">14.275580776733463</cx:pt>
          <cx:pt idx="106">14.328316069947592</cx:pt>
          <cx:pt idx="107">13.298803107720305</cx:pt>
          <cx:pt idx="108">11.338138301489087</cx:pt>
          <cx:pt idx="109">12.579857870935324</cx:pt>
          <cx:pt idx="110">40.767563306729734</cx:pt>
          <cx:pt idx="111">38.31877936350358</cx:pt>
          <cx:pt idx="112">35.620224777699555</cx:pt>
          <cx:pt idx="113">34.204527712724435</cx:pt>
          <cx:pt idx="114">34.033966499635063</cx:pt>
          <cx:pt idx="115">30.154682352065223</cx:pt>
          <cx:pt idx="116">27.019028005573986</cx:pt>
          <cx:pt idx="117">26.100194816085875</cx:pt>
          <cx:pt idx="118">26.558304912560772</cx:pt>
          <cx:pt idx="119">22.931984680873779</cx:pt>
          <cx:pt idx="120">21.684293503251659</cx:pt>
          <cx:pt idx="121">19.058487484539324</cx:pt>
          <cx:pt idx="122">19.392675433378354</cx:pt>
          <cx:pt idx="123">17.598743143794273</cx:pt>
          <cx:pt idx="124">18.040823727135159</cx:pt>
          <cx:pt idx="125">15.964757454319239</cx:pt>
          <cx:pt idx="126">15.033587165355435</cx:pt>
          <cx:pt idx="127">15.240777795595093</cx:pt>
          <cx:pt idx="128">14.963516391439445</cx:pt>
          <cx:pt idx="129">14.390721535745808</cx:pt>
          <cx:pt idx="130">14.192012803589382</cx:pt>
          <cx:pt idx="131">15.078961547509733</cx:pt>
          <cx:pt idx="132">16.768895924020576</cx:pt>
          <cx:pt idx="133">12.645606867537268</cx:pt>
          <cx:pt idx="134">18.587251950784697</cx:pt>
          <cx:pt idx="135">13.970677821548957</cx:pt>
          <cx:pt idx="136">16.306137072254391</cx:pt>
          <cx:pt idx="137">23.378532919457605</cx:pt>
          <cx:pt idx="138">22.597753401192477</cx:pt>
          <cx:pt idx="139">23.862183363859419</cx:pt>
          <cx:pt idx="140">23.832004476150509</cx:pt>
          <cx:pt idx="141">21.07981712211636</cx:pt>
          <cx:pt idx="142">21.453590192644484</cx:pt>
          <cx:pt idx="143">21.030984844557349</cx:pt>
          <cx:pt idx="144">21.395932264134039</cx:pt>
          <cx:pt idx="145">20.195086705202311</cx:pt>
          <cx:pt idx="146">19.566840926064227</cx:pt>
          <cx:pt idx="147">17.933078062765773</cx:pt>
          <cx:pt idx="148">17.753828701077708</cx:pt>
          <cx:pt idx="149">17.462834489593657</cx:pt>
          <cx:pt idx="150">17.321934996837573</cx:pt>
          <cx:pt idx="151">16.033454228352856</cx:pt>
          <cx:pt idx="152">15.585118725346121</cx:pt>
          <cx:pt idx="153">16.883665707443704</cx:pt>
          <cx:pt idx="154">27.226328174195473</cx:pt>
          <cx:pt idx="155">23.139472915126614</cx:pt>
          <cx:pt idx="156">22.258603873484745</cx:pt>
          <cx:pt idx="157">21.835875945903823</cx:pt>
          <cx:pt idx="158">21.820117083555083</cx:pt>
          <cx:pt idx="159">21.191982749478594</cx:pt>
          <cx:pt idx="160">19.196004249212592</cx:pt>
          <cx:pt idx="161">20.902461428866015</cx:pt>
          <cx:pt idx="162">17.257471570887063</cx:pt>
          <cx:pt idx="163">18.302730696798495</cx:pt>
          <cx:pt idx="164">16.279380087306276</cx:pt>
          <cx:pt idx="165">14.465161517289904</cx:pt>
          <cx:pt idx="166">15.543720584592519</cx:pt>
          <cx:pt idx="167">14.44891135612785</cx:pt>
          <cx:pt idx="168">13.732429972696936</cx:pt>
          <cx:pt idx="169">13.107410249497066</cx:pt>
          <cx:pt idx="170">13.053115507757985</cx:pt>
          <cx:pt idx="171">13.760309712169668</cx:pt>
          <cx:pt idx="172">14.195950663253432</cx:pt>
          <cx:pt idx="173">12.645214351804256</cx:pt>
          <cx:pt idx="174">13.709693702424939</cx:pt>
          <cx:pt idx="175">12.502995055435754</cx:pt>
          <cx:pt idx="176">32.593856655290097</cx:pt>
          <cx:pt idx="177">27.872622116925651</cx:pt>
          <cx:pt idx="178">25.936135998162186</cx:pt>
          <cx:pt idx="179">32.391227864430633</cx:pt>
          <cx:pt idx="180">34.099544072948326</cx:pt>
          <cx:pt idx="181">30.259921878767422</cx:pt>
          <cx:pt idx="182">33.288948069241016</cx:pt>
          <cx:pt idx="183">29.502248165969867</cx:pt>
          <cx:pt idx="184">27.584028636854157</cx:pt>
          <cx:pt idx="185">24.235072112144493</cx:pt>
          <cx:pt idx="186">25.760938490805326</cx:pt>
          <cx:pt idx="187">22.693128805250254</cx:pt>
          <cx:pt idx="188">19.772481040086674</cx:pt>
          <cx:pt idx="189">18.981652831385819</cx:pt>
          <cx:pt idx="190">17.845322153574582</cx:pt>
          <cx:pt idx="191">15.965290381125225</cx:pt>
          <cx:pt idx="192">16.599791128455998</cx:pt>
          <cx:pt idx="193">16.780678486667597</cx:pt>
          <cx:pt idx="194">15.662818194463764</cx:pt>
          <cx:pt idx="195">15.843507214206438</cx:pt>
          <cx:pt idx="196">15.659955257270694</cx:pt>
          <cx:pt idx="197">16.134382822159896</cx:pt>
        </cx:lvl>
      </cx:numDim>
    </cx:data>
    <cx:data id="2">
      <cx:numDim type="val">
        <cx:f>Tx_Mortalidade_Infantil!$D$4:$D$157</cx:f>
        <cx:lvl ptCount="154" formatCode="Geral">
          <cx:pt idx="0">30.677841972495727</cx:pt>
          <cx:pt idx="1">30.37974683544304</cx:pt>
          <cx:pt idx="2">26.308652020612964</cx:pt>
          <cx:pt idx="3">34.672081829121545</cx:pt>
          <cx:pt idx="4">23.696682464454977</cx:pt>
          <cx:pt idx="5">30.989039665970775</cx:pt>
          <cx:pt idx="6">23.620999401157761</cx:pt>
          <cx:pt idx="7">21.5625</cx:pt>
          <cx:pt idx="8">20.282350040071513</cx:pt>
          <cx:pt idx="9">20.27027027027027</cx:pt>
          <cx:pt idx="10">20.973530731269626</cx:pt>
          <cx:pt idx="11">20.426446873320195</cx:pt>
          <cx:pt idx="12">22.030420086914532</cx:pt>
          <cx:pt idx="13">17.804957246455242</cx:pt>
          <cx:pt idx="14">19.200919804541535</cx:pt>
          <cx:pt idx="15">17.605841135252899</cx:pt>
          <cx:pt idx="16">14.914811387512929</cx:pt>
          <cx:pt idx="17">16.622569883814563</cx:pt>
          <cx:pt idx="18">16.930978046165134</cx:pt>
          <cx:pt idx="19">17.258769472150622</cx:pt>
          <cx:pt idx="20">17.424756732292376</cx:pt>
          <cx:pt idx="21">15.306434825200515</cx:pt>
          <cx:pt idx="22">37.393117831074036</cx:pt>
          <cx:pt idx="23">31.783150659861317</cx:pt>
          <cx:pt idx="24">28.160724795348756</cx:pt>
          <cx:pt idx="25">29.6114805740287</cx:pt>
          <cx:pt idx="26">29.774193548387096</cx:pt>
          <cx:pt idx="27">27.678743139488443</cx:pt>
          <cx:pt idx="28">23.533769249398123</cx:pt>
          <cx:pt idx="29">22.579182956541445</cx:pt>
          <cx:pt idx="30">21.370607978926795</cx:pt>
          <cx:pt idx="31">18.579680407010244</cx:pt>
          <cx:pt idx="32">18.105107934297301</cx:pt>
          <cx:pt idx="33">18.075724421457462</cx:pt>
          <cx:pt idx="34">16.745724713955681</cx:pt>
          <cx:pt idx="35">16.526047944288202</cx:pt>
          <cx:pt idx="36">16.473742898104394</cx:pt>
          <cx:pt idx="37">15.668839882348157</cx:pt>
          <cx:pt idx="38">15.163112331081082</cx:pt>
          <cx:pt idx="39">16.083205171649766</cx:pt>
          <cx:pt idx="40">17.035905271199386</cx:pt>
          <cx:pt idx="41">15.524173533207584</cx:pt>
          <cx:pt idx="42">15.339930341627792</cx:pt>
          <cx:pt idx="43">15.759500314927568</cx:pt>
          <cx:pt idx="44">30.7664947536902</cx:pt>
          <cx:pt idx="45">27.173503951825367</cx:pt>
          <cx:pt idx="46">27.953701681589866</cx:pt>
          <cx:pt idx="47">24.03495994173343</cx:pt>
          <cx:pt idx="48">26.824428602924968</cx:pt>
          <cx:pt idx="49">22.841185736789345</cx:pt>
          <cx:pt idx="50">22.931139138058946</cx:pt>
          <cx:pt idx="51">23.346569902779681</cx:pt>
          <cx:pt idx="52">19.427671304804409</cx:pt>
          <cx:pt idx="53">21.527242128882968</cx:pt>
          <cx:pt idx="54">19.782189137027849</cx:pt>
          <cx:pt idx="55">21.387207159778889</cx:pt>
          <cx:pt idx="56">20.666979802724285</cx:pt>
          <cx:pt idx="57">22.730142694784696</cx:pt>
          <cx:pt idx="58">22.407675121566566</cx:pt>
          <cx:pt idx="59">19.189765458422176</cx:pt>
          <cx:pt idx="60">19.738067159083855</cx:pt>
          <cx:pt idx="61">20.660638030645568</cx:pt>
          <cx:pt idx="62">19.239904988123516</cx:pt>
          <cx:pt idx="63">18.160081976545602</cx:pt>
          <cx:pt idx="64">17.01754385964912</cx:pt>
          <cx:pt idx="65">17.448071216617208</cx:pt>
          <cx:pt idx="66">24.156640228623495</cx:pt>
          <cx:pt idx="67">21.893996483295652</cx:pt>
          <cx:pt idx="68">21.649144657313457</cx:pt>
          <cx:pt idx="69">22.647994254642455</cx:pt>
          <cx:pt idx="70">22.694487580699832</cx:pt>
          <cx:pt idx="71">24.343652810886759</cx:pt>
          <cx:pt idx="72">23.334253669529662</cx:pt>
          <cx:pt idx="73">21.403197158081703</cx:pt>
          <cx:pt idx="74">21.997745961514383</cx:pt>
          <cx:pt idx="75">21.807751523800821</cx:pt>
          <cx:pt idx="76">20.383908458976521</cx:pt>
          <cx:pt idx="77">19.641732652705763</cx:pt>
          <cx:pt idx="78">18.436948986638239</cx:pt>
          <cx:pt idx="79">17.91084586403494</cx:pt>
          <cx:pt idx="80">18.069484998518895</cx:pt>
          <cx:pt idx="81">17.750416642721682</cx:pt>
          <cx:pt idx="82">17.066715991064694</cx:pt>
          <cx:pt idx="83">16.640364076779093</cx:pt>
          <cx:pt idx="84">16.347704782248574</cx:pt>
          <cx:pt idx="85">15.411140396124958</cx:pt>
          <cx:pt idx="86">14.623187996270026</cx:pt>
          <cx:pt idx="87">15.512044863339254</cx:pt>
          <cx:pt idx="88">26.155007894556189</cx:pt>
          <cx:pt idx="89">19.299278213190423</cx:pt>
          <cx:pt idx="90">25.024061597690086</cx:pt>
          <cx:pt idx="91">26.461677302907241</cx:pt>
          <cx:pt idx="92">23.094688221709006</cx:pt>
          <cx:pt idx="93">22.285277051584519</cx:pt>
          <cx:pt idx="94">22.746568558086881</cx:pt>
          <cx:pt idx="95">20.829072066543944</cx:pt>
          <cx:pt idx="96">20.871488302982137</cx:pt>
          <cx:pt idx="97">19.331980324034259</cx:pt>
          <cx:pt idx="98">18.553403234405543</cx:pt>
          <cx:pt idx="99">18.971602759505856</cx:pt>
          <cx:pt idx="100">19.255009344981961</cx:pt>
          <cx:pt idx="101">16.388546683092546</cx:pt>
          <cx:pt idx="102">17.40730800199379</cx:pt>
          <cx:pt idx="103">18.06017480083533</cx:pt>
          <cx:pt idx="104">13.211713179136353</cx:pt>
          <cx:pt idx="105">14.026620414011537</cx:pt>
          <cx:pt idx="106">13.622974963181148</cx:pt>
          <cx:pt idx="107">13.877817233132836</cx:pt>
          <cx:pt idx="108">14.163290186094876</cx:pt>
          <cx:pt idx="109">13.480116827679174</cx:pt>
          <cx:pt idx="110">28.933865450399086</cx:pt>
          <cx:pt idx="111">31.351791530944624</cx:pt>
          <cx:pt idx="112">18.154872174879586</cx:pt>
          <cx:pt idx="113">21.310277642474428</cx:pt>
          <cx:pt idx="114">21.68499688732102</cx:pt>
          <cx:pt idx="115">17.11340206185567</cx:pt>
          <cx:pt idx="116">16.818134336153765</cx:pt>
          <cx:pt idx="117">12.453719286435543</cx:pt>
          <cx:pt idx="118">15.869867089863121</cx:pt>
          <cx:pt idx="119">18.489825431257103</cx:pt>
          <cx:pt idx="120">17.844098925180006</cx:pt>
          <cx:pt idx="121">21.150239633256927</cx:pt>
          <cx:pt idx="122">17.325957624465087</cx:pt>
          <cx:pt idx="123">16.646848989298455</cx:pt>
          <cx:pt idx="124">18.396031417941298</cx:pt>
          <cx:pt idx="125">13.060468942821883</cx:pt>
          <cx:pt idx="126">12.484897301651229</cx:pt>
          <cx:pt idx="127">18.154734196071129</cx:pt>
          <cx:pt idx="128">19.079373900157449</cx:pt>
          <cx:pt idx="129">19.90990990990991</cx:pt>
          <cx:pt idx="130">16.565869050749406</cx:pt>
          <cx:pt idx="131">18.306636155606409</cx:pt>
          <cx:pt idx="132">18.250950570342205</cx:pt>
          <cx:pt idx="133">23.209251011318596</cx:pt>
          <cx:pt idx="134">20.671337285395332</cx:pt>
          <cx:pt idx="135">21.358034142233787</cx:pt>
          <cx:pt idx="136">21.463523131672599</cx:pt>
          <cx:pt idx="137">23.062940240854353</cx:pt>
          <cx:pt idx="138">22.876540476717587</cx:pt>
          <cx:pt idx="139">21.295204776210213</cx:pt>
          <cx:pt idx="140">19.736091569380537</cx:pt>
          <cx:pt idx="141">19.838496777700133</cx:pt>
          <cx:pt idx="142">16.908850726552178</cx:pt>
          <cx:pt idx="143">18.455412183635179</cx:pt>
          <cx:pt idx="144">16.979552792060268</cx:pt>
          <cx:pt idx="145">14.696162668636523</cx:pt>
          <cx:pt idx="146">15.989663248001293</cx:pt>
          <cx:pt idx="147">15.839796462719029</cx:pt>
          <cx:pt idx="148">15.093727176823824</cx:pt>
          <cx:pt idx="149">13.432648449596185</cx:pt>
          <cx:pt idx="150">13.086795001688619</cx:pt>
          <cx:pt idx="151">12.061000040884746</cx:pt>
          <cx:pt idx="152">12.678288431061805</cx:pt>
          <cx:pt idx="153">11.681643132220795</cx:pt>
        </cx:lvl>
      </cx:numDim>
    </cx:data>
    <cx:data id="3">
      <cx:numDim type="val">
        <cx:f>Tx_Mortalidade_Infantil!$E$4:$E$91</cx:f>
        <cx:lvl ptCount="88" formatCode="Geral">
          <cx:pt idx="0">23.505322119371158</cx:pt>
          <cx:pt idx="1">22.841579664094414</cx:pt>
          <cx:pt idx="2">19.208508782230872</cx:pt>
          <cx:pt idx="3">20.327244394424724</cx:pt>
          <cx:pt idx="4">17.623180753110461</cx:pt>
          <cx:pt idx="5">18.883175400278606</cx:pt>
          <cx:pt idx="6">17.894512822331784</cx:pt>
          <cx:pt idx="7">16.153818008854415</cx:pt>
          <cx:pt idx="8">16.363430469575722</cx:pt>
          <cx:pt idx="9">15.294960772480385</cx:pt>
          <cx:pt idx="10">15.725914319562808</cx:pt>
          <cx:pt idx="11">15.552401874064426</cx:pt>
          <cx:pt idx="12">14.035777471987419</cx:pt>
          <cx:pt idx="13">14.51406897085575</cx:pt>
          <cx:pt idx="14">12.32353170579518</cx:pt>
          <cx:pt idx="15">11.992637799089412</cx:pt>
          <cx:pt idx="16">11.782505910165485</cx:pt>
          <cx:pt idx="17">11.58528478909084</cx:pt>
          <cx:pt idx="18">11.122063719381776</cx:pt>
          <cx:pt idx="19">11.424707264120723</cx:pt>
          <cx:pt idx="20">11.542757850316494</cx:pt>
          <cx:pt idx="21">11.945424694759488</cx:pt>
          <cx:pt idx="22">72.997553888332547</cx:pt>
          <cx:pt idx="23">45.375457875457876</cx:pt>
          <cx:pt idx="24">37.991348504795937</cx:pt>
          <cx:pt idx="25">22.902676324870551</cx:pt>
          <cx:pt idx="26">20.832925994720892</cx:pt>
          <cx:pt idx="27">20.540262653643033</cx:pt>
          <cx:pt idx="28">18.588969404186795</cx:pt>
          <cx:pt idx="29">17.74623516750955</cx:pt>
          <cx:pt idx="30">17.280915842887996</cx:pt>
          <cx:pt idx="31">16.568571974352416</cx:pt>
          <cx:pt idx="32">16.323815926925981</cx:pt>
          <cx:pt idx="33">16.177885068743752</cx:pt>
          <cx:pt idx="34">14.659398225705985</cx:pt>
          <cx:pt idx="35">14.519628814576571</cx:pt>
          <cx:pt idx="36">13.870688491259839</cx:pt>
          <cx:pt idx="37">12.9383189617903</cx:pt>
          <cx:pt idx="38">12.923466375448115</cx:pt>
          <cx:pt idx="39">12.563934930584933</cx:pt>
          <cx:pt idx="40">12.006728108455869</cx:pt>
          <cx:pt idx="41">11.290231772543867</cx:pt>
          <cx:pt idx="42">11.288931695243642</cx:pt>
          <cx:pt idx="43">11.3970137689209</cx:pt>
          <cx:pt idx="44">26.864868701736821</cx:pt>
          <cx:pt idx="45">25.751964793279253</cx:pt>
          <cx:pt idx="46">23.967135019799745</cx:pt>
          <cx:pt idx="47">22.515404972087541</cx:pt>
          <cx:pt idx="48">21.283712218344796</cx:pt>
          <cx:pt idx="49">19.768234492160872</cx:pt>
          <cx:pt idx="50">18.205558049781082</cx:pt>
          <cx:pt idx="51">17.982503277948542</cx:pt>
          <cx:pt idx="52">17.685302236784395</cx:pt>
          <cx:pt idx="53">17.215838745411499</cx:pt>
          <cx:pt idx="54">16.028770276685506</cx:pt>
          <cx:pt idx="55">15.321200808834966</cx:pt>
          <cx:pt idx="56">14.778642834108814</cx:pt>
          <cx:pt idx="57">14.407941034853144</cx:pt>
          <cx:pt idx="58">14.423498263368373</cx:pt>
          <cx:pt idx="59">13.980885363238441</cx:pt>
          <cx:pt idx="60">13.878571557987426</cx:pt>
          <cx:pt idx="61">13.843345011506216</cx:pt>
          <cx:pt idx="62">13.108889870159992</cx:pt>
          <cx:pt idx="63">12.705354735729477</cx:pt>
          <cx:pt idx="64">12.553201361617406</cx:pt>
          <cx:pt idx="65">13.628441329719765</cx:pt>
          <cx:pt idx="66">24.374368595756966</cx:pt>
          <cx:pt idx="67">22.678773828291938</cx:pt>
          <cx:pt idx="68">21.804115400146397</cx:pt>
          <cx:pt idx="69">20.009659537351411</cx:pt>
          <cx:pt idx="70">18.075871922574759</cx:pt>
          <cx:pt idx="71">17.460573484514931</cx:pt>
          <cx:pt idx="72">16.661845164982303</cx:pt>
          <cx:pt idx="73">15.427423392428462</cx:pt>
          <cx:pt idx="74">15.34387375082296</cx:pt>
          <cx:pt idx="75">14.630871397487645</cx:pt>
          <cx:pt idx="76">13.631073164510781</cx:pt>
          <cx:pt idx="77">13.481472902206376</cx:pt>
          <cx:pt idx="78">13.161115526092541</cx:pt>
          <cx:pt idx="79">12.733222648118877</cx:pt>
          <cx:pt idx="80">12.634560150513888</cx:pt>
          <cx:pt idx="81">12.043092858802829</cx:pt>
          <cx:pt idx="82">11.725068487549578</cx:pt>
          <cx:pt idx="83">11.717080813705051</cx:pt>
          <cx:pt idx="84">11.71592395591259</cx:pt>
          <cx:pt idx="85">11.617991389711964</cx:pt>
          <cx:pt idx="86">10.937232055907003</cx:pt>
          <cx:pt idx="87">11.196245252665969</cx:pt>
        </cx:lvl>
      </cx:numDim>
    </cx:data>
    <cx:data id="4">
      <cx:numDim type="val">
        <cx:f>Tx_Mortalidade_Infantil!$F$4:$F$69</cx:f>
        <cx:lvl ptCount="66" formatCode="Geral">
          <cx:pt idx="0">23.005131560116943</cx:pt>
          <cx:pt idx="1">20.995302676760986</cx:pt>
          <cx:pt idx="2">19.220811499347569</cx:pt>
          <cx:pt idx="3">21.089072662273335</cx:pt>
          <cx:pt idx="4">19.733191035218784</cx:pt>
          <cx:pt idx="5">19.577282114368735</cx:pt>
          <cx:pt idx="6">17.738796078478202</cx:pt>
          <cx:pt idx="7">17.003754390214365</cx:pt>
          <cx:pt idx="8">16.901426355800766</cx:pt>
          <cx:pt idx="9">15.664799574428137</cx:pt>
          <cx:pt idx="10">14.678624253430941</cx:pt>
          <cx:pt idx="11">14.120483497865962</cx:pt>
          <cx:pt idx="12">13.548959936016919</cx:pt>
          <cx:pt idx="13">13.287958739133602</cx:pt>
          <cx:pt idx="14">12.76319052949812</cx:pt>
          <cx:pt idx="15">12.433474333756555</cx:pt>
          <cx:pt idx="16">11.977340520173739</cx:pt>
          <cx:pt idx="17">11.959127198082381</cx:pt>
          <cx:pt idx="18">11.241012977325051</cx:pt>
          <cx:pt idx="19">11.544735851424269</cx:pt>
          <cx:pt idx="20">11.178095172783552</cx:pt>
          <cx:pt idx="21">10.650818696810575</cx:pt>
          <cx:pt idx="22">18.829440853247213</cx:pt>
          <cx:pt idx="23">18.323413189120267</cx:pt>
          <cx:pt idx="24">15.909794726597063</cx:pt>
          <cx:pt idx="25">17.295464657216392</cx:pt>
          <cx:pt idx="26">15.101669786920905</cx:pt>
          <cx:pt idx="27">15.19813678323105</cx:pt>
          <cx:pt idx="28">15.826235412136356</cx:pt>
          <cx:pt idx="29">15.632853479050945</cx:pt>
          <cx:pt idx="30">15.99967812885575</cx:pt>
          <cx:pt idx="31">15.193992981355501</cx:pt>
          <cx:pt idx="32">13.706441823995439</cx:pt>
          <cx:pt idx="33">13.102503249138273</cx:pt>
          <cx:pt idx="34">12.79498083373263</cx:pt>
          <cx:pt idx="35">12.77407336221299</cx:pt>
          <cx:pt idx="36">11.664225722569268</cx:pt>
          <cx:pt idx="37">11.309809329655833</cx:pt>
          <cx:pt idx="38">11.612388481903242</cx:pt>
          <cx:pt idx="39">10.831674201640205</cx:pt>
          <cx:pt idx="40">10.643786530592051</cx:pt>
          <cx:pt idx="41">10.750139431121026</cx:pt>
          <cx:pt idx="42">10.275241720850319</cx:pt>
          <cx:pt idx="43">10.336099995758099</cx:pt>
          <cx:pt idx="44">18.630656816438577</cx:pt>
          <cx:pt idx="45">16.939738961399609</cx:pt>
          <cx:pt idx="46">17.077138735125288</cx:pt>
          <cx:pt idx="47">16.677611349114525</cx:pt>
          <cx:pt idx="48">16.352431508938921</cx:pt>
          <cx:pt idx="49">15.566907156774976</cx:pt>
          <cx:pt idx="50">14.963047185901079</cx:pt>
          <cx:pt idx="51">14.860435548401396</cx:pt>
          <cx:pt idx="52">13.533671775377137</cx:pt>
          <cx:pt idx="53">13.12422229004766</cx:pt>
          <cx:pt idx="54">12.242283328192839</cx:pt>
          <cx:pt idx="55">12.478270187888457</cx:pt>
          <cx:pt idx="56">12.403669724770642</cx:pt>
          <cx:pt idx="57">11.45956862238608</cx:pt>
          <cx:pt idx="58">10.823523764954341</cx:pt>
          <cx:pt idx="59">10.068346303732396</cx:pt>
          <cx:pt idx="60">11.391505649911757</cx:pt>
          <cx:pt idx="61">10.275714721741785</cx:pt>
          <cx:pt idx="62">9.9596711303224073</cx:pt>
          <cx:pt idx="63">9.6907327008629469</cx:pt>
          <cx:pt idx="64">9.5571478432258203</cx:pt>
          <cx:pt idx="65">8.453271321727108</cx:pt>
        </cx:lvl>
      </cx:numDim>
    </cx:data>
  </cx:chartData>
  <cx:chart>
    <cx:plotArea>
      <cx:plotAreaRegion>
        <cx:series layoutId="boxWhisker" uniqueId="{AC8957EB-073C-DA48-8AA4-BC1C838B0048}">
          <cx:tx>
            <cx:txData>
              <cx:f>Tx_Mortalidade_Infantil!$B$3</cx:f>
              <cx:v>Centro-Oeste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5"/>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Tx_Mortalidade_Infantil!$C$3</cx:f>
              <cx:v>Nordeste</cx:v>
            </cx:txData>
          </cx:tx>
          <cx:spPr>
            <a:noFill/>
            <a:ln>
              <a:solidFill>
                <a:schemeClr val="tx1"/>
              </a:solidFill>
            </a:ln>
          </cx:spPr>
          <cx:dataLabels>
            <cx:dataLabel idx="0"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r>
                    <a:rPr lang="pt-BR" sz="1000" b="0" i="0" u="none" strike="noStrike" baseline="0">
                      <a:solidFill>
                        <a:sysClr val="windowText" lastClr="000000"/>
                      </a:solidFill>
                      <a:latin typeface="Arial" panose="020B0604020202020204" pitchFamily="34" charset="0"/>
                      <a:cs typeface="Arial" panose="020B0604020202020204" pitchFamily="34" charset="0"/>
                    </a:rPr>
                    <a:t>Nordeste</a:t>
                  </a:r>
                </a:p>
              </cx:txPr>
              <cx:visibility seriesName="1" categoryName="0" value="0"/>
              <cx:separator>, </cx:separator>
            </cx:dataLabel>
            <cx:dataLabelHidden idx="189"/>
            <cx:dataLabelHidden idx="190"/>
            <cx:dataLabelHidden idx="194"/>
            <cx:dataLabelHidden idx="196"/>
            <cx:dataLabelHidden idx="197"/>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Tx_Mortalidade_Infantil!$D$3</cx:f>
              <cx:v>Norte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150"/>
            <cx:dataLabelHidden idx="151"/>
            <cx:dataLabelHidden idx="152"/>
            <cx:dataLabelHidden idx="153"/>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Tx_Mortalidade_Infantil!$E$3</cx:f>
              <cx:v>Sudeste</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84"/>
            <cx:dataLabelHidden idx="85"/>
            <cx:dataLabelHidden idx="86"/>
            <cx:dataLabelHidden idx="87"/>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Tx_Mortalidade_Infantil!$F$3</cx:f>
              <cx:v>Sul</cx:v>
            </cx:txData>
          </cx:tx>
          <cx:spPr>
            <a:noFill/>
            <a:ln>
              <a:solidFill>
                <a:schemeClr val="tx1"/>
              </a:solidFill>
            </a:ln>
          </cx:spPr>
          <cx:dataLabels pos="b">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65"/>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hartEx9.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Tx_Homicídios!$B$4:$B$91</cx:f>
        <cx:lvl ptCount="88" formatCode="Geral">
          <cx:pt idx="0">39.53244681679999</cx:pt>
          <cx:pt idx="1">38.310685387999996</cx:pt>
          <cx:pt idx="2">35.588420976899997</cx:pt>
          <cx:pt idx="3">37.433633287699998</cx:pt>
          <cx:pt idx="4">36.702985531499998</cx:pt>
          <cx:pt idx="5">37.5399898398</cx:pt>
          <cx:pt idx="6">36.854275429700003</cx:pt>
          <cx:pt idx="7">34.671769257500003</cx:pt>
          <cx:pt idx="8">33.221802994699999</cx:pt>
          <cx:pt idx="9">30.542069067199996</cx:pt>
          <cx:pt idx="10">28.24160543</cx:pt>
          <cx:pt idx="11">27.774983913700002</cx:pt>
          <cx:pt idx="12">29.275680144900001</cx:pt>
          <cx:pt idx="13">32.693567460099999</cx:pt>
          <cx:pt idx="14">34.704816257300003</cx:pt>
          <cx:pt idx="15">30.206673599600002</cx:pt>
          <cx:pt idx="16">33.853216656100003</cx:pt>
          <cx:pt idx="17">34.982241195599997</cx:pt>
          <cx:pt idx="18">30.002570112600001</cx:pt>
          <cx:pt idx="19">29.554349853400005</cx:pt>
          <cx:pt idx="20">25.456030025799997</cx:pt>
          <cx:pt idx="21">25.5272039382</cx:pt>
          <cx:pt idx="22">16.966300193044347</cx:pt>
          <cx:pt idx="23">15.614732067823441</cx:pt>
          <cx:pt idx="24">14.849989245084458</cx:pt>
          <cx:pt idx="25">13.152921898423923</cx:pt>
          <cx:pt idx="26">16.499067080865668</cx:pt>
          <cx:pt idx="27">20.146993101258907</cx:pt>
          <cx:pt idx="28">21.245427688836731</cx:pt>
          <cx:pt idx="29">24.470449868596809</cx:pt>
          <cx:pt idx="30">24.78809842164944</cx:pt>
          <cx:pt idx="31">27.729364048851359</cx:pt>
          <cx:pt idx="32">26.23822674662059</cx:pt>
          <cx:pt idx="33">26.229408117098536</cx:pt>
          <cx:pt idx="34">25.692699939297889</cx:pt>
          <cx:pt idx="35">29.820433201454378</cx:pt>
          <cx:pt idx="36">30.924979267048762</cx:pt>
          <cx:pt idx="37">31.55021544963753</cx:pt>
          <cx:pt idx="38">35.693361546708488</cx:pt>
          <cx:pt idx="39">43.35394984437049</cx:pt>
          <cx:pt idx="40">44.886205387340297</cx:pt>
          <cx:pt idx="41">43.153541219446566</cx:pt>
          <cx:pt idx="42">44.443214112676515</cx:pt>
          <cx:pt idx="43">44.325929996975759</cx:pt>
          <cx:pt idx="44">32.726191042530822</cx:pt>
          <cx:pt idx="45">37.710715756650259</cx:pt>
          <cx:pt idx="46">37.361713304332305</cx:pt>
          <cx:pt idx="47">33.42390024345297</cx:pt>
          <cx:pt idx="48">28.224222698985937</cx:pt>
          <cx:pt idx="49">30.991322910832825</cx:pt>
          <cx:pt idx="50">29.322179220563793</cx:pt>
          <cx:pt idx="51">32.42051368296562</cx:pt>
          <cx:pt idx="52">30.411216902516035</cx:pt>
          <cx:pt idx="53">28.195218352511315</cx:pt>
          <cx:pt idx="54">26.74808908508215</cx:pt>
          <cx:pt idx="55">29.164257600203342</cx:pt>
          <cx:pt idx="56">29.805721271174995</cx:pt>
          <cx:pt idx="57">28.870019973246823</cx:pt>
          <cx:pt idx="58">29.561478905753756</cx:pt>
          <cx:pt idx="59">26.376320426806096</cx:pt>
          <cx:pt idx="60">26.734738952964317</cx:pt>
          <cx:pt idx="61">26.783887410284986</cx:pt>
          <cx:pt idx="62">24.076019741541316</cx:pt>
          <cx:pt idx="63">26.765006687401833</cx:pt>
          <cx:pt idx="64">23.987347998160104</cx:pt>
          <cx:pt idx="65">25.055018202298953</cx:pt>
          <cx:pt idx="66">25.889850141432067</cx:pt>
          <cx:pt idx="67">29.250856057153733</cx:pt>
          <cx:pt idx="68">33.175150369978091</cx:pt>
          <cx:pt idx="69">36.240554939406316</cx:pt>
          <cx:pt idx="70">34.728346455049291</cx:pt>
          <cx:pt idx="71">39.770751168062894</cx:pt>
          <cx:pt idx="72">38.507547440238135</cx:pt>
          <cx:pt idx="73">36.971301746871795</cx:pt>
          <cx:pt idx="74">32.807111622381335</cx:pt>
          <cx:pt idx="75">30.556368618827825</cx:pt>
          <cx:pt idx="76">31.48711814586796</cx:pt>
          <cx:pt idx="77">31.170675594648767</cx:pt>
          <cx:pt idx="78">30.42394599696474</cx:pt>
          <cx:pt idx="79">31.42215019399536</cx:pt>
          <cx:pt idx="80">32.956896162875765</cx:pt>
          <cx:pt idx="81">31.416572602782718</cx:pt>
          <cx:pt idx="82">32.250277665836755</cx:pt>
          <cx:pt idx="83">33.898067491564653</cx:pt>
          <cx:pt idx="84">36.108082899647187</cx:pt>
          <cx:pt idx="85">41.962062945576506</cx:pt>
          <cx:pt idx="86">36.686931245376115</cx:pt>
          <cx:pt idx="87">35.546482546973834</cx:pt>
        </cx:lvl>
      </cx:numDim>
    </cx:data>
    <cx:data id="1">
      <cx:numDim type="val">
        <cx:f>Tx_Homicídios!$C$4:$C$201</cx:f>
        <cx:lvl ptCount="198" formatCode="Geral">
          <cx:pt idx="0">27.221270574224487</cx:pt>
          <cx:pt idx="1">28.102144459463119</cx:pt>
          <cx:pt idx="2">24.107705115456699</cx:pt>
          <cx:pt idx="3">21.762486086901728</cx:pt>
          <cx:pt idx="4">20.345167561987648</cx:pt>
          <cx:pt idx="5">25.649918993728626</cx:pt>
          <cx:pt idx="6">29.265939522432248</cx:pt>
          <cx:pt idx="7">34.250773845842559</cx:pt>
          <cx:pt idx="8">34.607963087565196</cx:pt>
          <cx:pt idx="9">34.075024746217125</cx:pt>
          <cx:pt idx="10">39.00709909749316</cx:pt>
          <cx:pt idx="11">52.013328778135275</cx:pt>
          <cx:pt idx="12">58.062110400611715</cx:pt>
          <cx:pt idx="13">59.441801319614164</cx:pt>
          <cx:pt idx="14">58.520625352089489</cx:pt>
          <cx:pt idx="15">64.576356513474835</cx:pt>
          <cx:pt idx="16">68.882346311439633</cx:pt>
          <cx:pt idx="17">62.391573295298485</cx:pt>
          <cx:pt idx="18">65.072471890528121</cx:pt>
          <cx:pt idx="19">62.776793722688296</cx:pt>
          <cx:pt idx="20">52.297121892092072</cx:pt>
          <cx:pt idx="21">54.183389337729473</cx:pt>
          <cx:pt idx="22">12.05135109168396</cx:pt>
          <cx:pt idx="23">14.878395429638907</cx:pt>
          <cx:pt idx="24">15.499956607993232</cx:pt>
          <cx:pt idx="25">9.7033249255981051</cx:pt>
          <cx:pt idx="26">6.8190459184966601</cx:pt>
          <cx:pt idx="27">9.3571278284733665</cx:pt>
          <cx:pt idx="28">11.903909643496938</cx:pt>
          <cx:pt idx="29">13.022445893054341</cx:pt>
          <cx:pt idx="30">15.396777278312459</cx:pt>
          <cx:pt idx="31">15.956533771629969</cx:pt>
          <cx:pt idx="32">19.92919933466592</cx:pt>
          <cx:pt idx="33">22.745705611888027</cx:pt>
          <cx:pt idx="34">24.807331568092366</cx:pt>
          <cx:pt idx="35">31.951565375821364</cx:pt>
          <cx:pt idx="36">35.998459838514592</cx:pt>
          <cx:pt idx="37">38.440427764693929</cx:pt>
          <cx:pt idx="38">36.251955463043188</cx:pt>
          <cx:pt idx="39">39.873834480920848</cx:pt>
          <cx:pt idx="40">36.805035742491214</cx:pt>
          <cx:pt idx="41">38.87892510383552</cx:pt>
          <cx:pt idx="42">38.819112342004708</cx:pt>
          <cx:pt idx="43">46.221120636657155</cx:pt>
          <cx:pt idx="44">12.585087103691121</cx:pt>
          <cx:pt idx="45">12.938206479680769</cx:pt>
          <cx:pt idx="46">14.753680725439741</cx:pt>
          <cx:pt idx="47">13.417207276021966</cx:pt>
          <cx:pt idx="48">15.591114303143243</cx:pt>
          <cx:pt idx="49">16.539578376666796</cx:pt>
          <cx:pt idx="50">17.197328346016679</cx:pt>
          <cx:pt idx="51">18.851557376402006</cx:pt>
          <cx:pt idx="52">19.805148399933373</cx:pt>
          <cx:pt idx="53">19.227750741324215</cx:pt>
          <cx:pt idx="54">20.892875227526631</cx:pt>
          <cx:pt idx="55">21.781213046344124</cx:pt>
          <cx:pt idx="56">23.215095459379359</cx:pt>
          <cx:pt idx="57">24.056922077999037</cx:pt>
          <cx:pt idx="58">25.491110078378171</cx:pt>
          <cx:pt idx="59">31.354341870385287</cx:pt>
          <cx:pt idx="60">32.296224535482416</cx:pt>
          <cx:pt idx="61">44.078860295157774</cx:pt>
          <cx:pt idx="62">50.942202926769468</cx:pt>
          <cx:pt idx="63">52.309274685420732</cx:pt>
          <cx:pt idx="64">46.736790568208967</cx:pt>
          <cx:pt idx="65">40.630710904683873</cx:pt>
          <cx:pt idx="66">7.2831457684283682</cx:pt>
          <cx:pt idx="67">6.6830289172137141</cx:pt>
          <cx:pt idx="68">6.0240486063324754</cx:pt>
          <cx:pt idx="69">4.9656223987633137</cx:pt>
          <cx:pt idx="70">4.6139473352993177</cx:pt>
          <cx:pt idx="71">6.0869065155561008</cx:pt>
          <cx:pt idx="72">9.3535705510477047</cx:pt>
          <cx:pt idx="73">9.925416354844506</cx:pt>
          <cx:pt idx="74">13.194036040749605</cx:pt>
          <cx:pt idx="75">11.966585062763983</cx:pt>
          <cx:pt idx="76">15.085006458370938</cx:pt>
          <cx:pt idx="77">15.366336121026734</cx:pt>
          <cx:pt idx="78">17.675511235316304</cx:pt>
          <cx:pt idx="79">19.758126958689079</cx:pt>
          <cx:pt idx="80">21.414535411808259</cx:pt>
          <cx:pt idx="81">22.92593363744599</cx:pt>
          <cx:pt idx="82">23.774628513929173</cx:pt>
          <cx:pt idx="83">26.268299270915456</cx:pt>
          <cx:pt idx="84">31.570576575861409</cx:pt>
          <cx:pt idx="85">35.703687420203451</cx:pt>
          <cx:pt idx="86">35.108565707920647</cx:pt>
          <cx:pt idx="87">34.239109489797038</cx:pt>
          <cx:pt idx="88">13.353457332860595</cx:pt>
          <cx:pt idx="89">18.937468840911794</cx:pt>
          <cx:pt idx="90">14.737070846585164</cx:pt>
          <cx:pt idx="91">12.494002729603155</cx:pt>
          <cx:pt idx="92">11.968242682778206</cx:pt>
          <cx:pt idx="93">15.070452186165427</cx:pt>
          <cx:pt idx="94">14.127005818593707</cx:pt>
          <cx:pt idx="95">17.396454613990336</cx:pt>
          <cx:pt idx="96">16.942531686115423</cx:pt>
          <cx:pt idx="97">18.327354226337828</cx:pt>
          <cx:pt idx="98">20.48164100399017</cx:pt>
          <cx:pt idx="99">22.11503152487272</cx:pt>
          <cx:pt idx="100">23.242322630453486</cx:pt>
          <cx:pt idx="101">27.452707033250995</cx:pt>
          <cx:pt idx="102">33.203557782760569</cx:pt>
          <cx:pt idx="103">37.913292196023889</cx:pt>
          <cx:pt idx="104">41.743659662494451</cx:pt>
          <cx:pt idx="105">38.80198423100537</cx:pt>
          <cx:pt idx="106">39.060693778216049</cx:pt>
          <cx:pt idx="107">38.769252458326079</cx:pt>
          <cx:pt idx="108">38.039613058336329</cx:pt>
          <cx:pt idx="109">33.554907405194839</cx:pt>
          <cx:pt idx="110">36.251471582756935</cx:pt>
          <cx:pt idx="111">40.721328393799482</cx:pt>
          <cx:pt idx="112">49.45886537104748</cx:pt>
          <cx:pt idx="113">58.787064559703488</cx:pt>
          <cx:pt idx="114">55.403072522489886</cx:pt>
          <cx:pt idx="115">53.824385502827425</cx:pt>
          <cx:pt idx="116">58.50213311140412</cx:pt>
          <cx:pt idx="117">54.807079328131678</cx:pt>
          <cx:pt idx="118">52.963569143047309</cx:pt>
          <cx:pt idx="119">48.34682108210248</cx:pt>
          <cx:pt idx="120">49.650503728236927</cx:pt>
          <cx:pt idx="121">51.083730426661965</cx:pt>
          <cx:pt idx="122">51.083593926240411</cx:pt>
          <cx:pt idx="123">49.300093897927283</cx:pt>
          <cx:pt idx="124">43.743392457271518</cx:pt>
          <cx:pt idx="125">38.049522917508995</cx:pt>
          <cx:pt idx="126">37.395837310346678</cx:pt>
          <cx:pt idx="127">35.516117038784536</cx:pt>
          <cx:pt idx="128">33.306003659645683</cx:pt>
          <cx:pt idx="129">35.545840985723288</cx:pt>
          <cx:pt idx="130">40.403876118466904</cx:pt>
          <cx:pt idx="131">46.24702029768148</cx:pt>
          <cx:pt idx="132">4.4403963035324319</cx:pt>
          <cx:pt idx="133">4.6762448631345999</cx:pt>
          <cx:pt idx="134">5.6751794358224945</cx:pt>
          <cx:pt idx="135">5.1935078941336199</cx:pt>
          <cx:pt idx="136">4.7912373754579063</cx:pt>
          <cx:pt idx="137">8.229937417315254</cx:pt>
          <cx:pt idx="138">9.7111608387567507</cx:pt>
          <cx:pt idx="139">10.868848878505611</cx:pt>
          <cx:pt idx="140">10.31680805371286</cx:pt>
          <cx:pt idx="141">11.257269288899005</cx:pt>
          <cx:pt idx="142">12.233478795446363</cx:pt>
          <cx:pt idx="143">13.6872427672391</cx:pt>
          <cx:pt idx="144">12.317852797148404</cx:pt>
          <cx:pt idx="145">11.658495347444385</cx:pt>
          <cx:pt idx="146">12.441548566531027</cx:pt>
          <cx:pt idx="147">12.887485868437075</cx:pt>
          <cx:pt idx="148">13.838796430986093</cx:pt>
          <cx:pt idx="149">16.498275740538585</cx:pt>
          <cx:pt idx="150">18.672007763513932</cx:pt>
          <cx:pt idx="151">22.287564198403121</cx:pt>
          <cx:pt idx="152">20.188539044626147</cx:pt>
          <cx:pt idx="153">21.786750783916101</cx:pt>
          <cx:pt idx="154">9.6425480336423028</cx:pt>
          <cx:pt idx="155">9.2626609240835194</cx:pt>
          <cx:pt idx="156">9.0968451678437834</cx:pt>
          <cx:pt idx="157">8.4969989971162114</cx:pt>
          <cx:pt idx="158">8.5139598804071888</cx:pt>
          <cx:pt idx="159">9.0392403868934323</cx:pt>
          <cx:pt idx="160">11.224767805392633</cx:pt>
          <cx:pt idx="161">10.551037577110488</cx:pt>
          <cx:pt idx="162">13.85215958745334</cx:pt>
          <cx:pt idx="163">11.631993162888422</cx:pt>
          <cx:pt idx="164">13.424545648911126</cx:pt>
          <cx:pt idx="165">14.952944772727294</cx:pt>
          <cx:pt idx="166">19.090573951115793</cx:pt>
          <cx:pt idx="167">22.867454378704593</cx:pt>
          <cx:pt idx="168">24.982144679946781</cx:pt>
          <cx:pt idx="169">24.780611943285457</cx:pt>
          <cx:pt idx="170">31.889174669993512</cx:pt>
          <cx:pt idx="171">33.667925819143449</cx:pt>
          <cx:pt idx="172">42.887302424233901</cx:pt>
          <cx:pt idx="173">46.999112532378923</cx:pt>
          <cx:pt idx="174">44.884633418922711</cx:pt>
          <cx:pt idx="175">53.352548692124287</cx:pt>
          <cx:pt idx="176">15.573869041200846</cx:pt>
          <cx:pt idx="177">14.347113951808272</cx:pt>
          <cx:pt idx="178">11.344696535405852</cx:pt>
          <cx:pt idx="179">10.32693043862278</cx:pt>
          <cx:pt idx="180">19.734402961325255</cx:pt>
          <cx:pt idx="181">23.312178651990607</cx:pt>
          <cx:pt idx="182">29.273908033705887</cx:pt>
          <cx:pt idx="183">29.739301706025557</cx:pt>
          <cx:pt idx="184">24.529349842045473</cx:pt>
          <cx:pt idx="185">23.137370947689426</cx:pt>
          <cx:pt idx="186">24.546863585447543</cx:pt>
          <cx:pt idx="187">29.344084719877959</cx:pt>
          <cx:pt idx="188">25.662917647889739</cx:pt>
          <cx:pt idx="189">26.811847735836633</cx:pt>
          <cx:pt idx="190">30.957415777573861</cx:pt>
          <cx:pt idx="191">31.414368252815283</cx:pt>
          <cx:pt idx="192">33.225455452025862</cx:pt>
          <cx:pt idx="193">39.472405472348292</cx:pt>
          <cx:pt idx="194">43.039411348361853</cx:pt>
          <cx:pt idx="195">48.703280780934378</cx:pt>
          <cx:pt idx="196">57.647346260365005</cx:pt>
          <cx:pt idx="197">64.172189785516991</cx:pt>
        </cx:lvl>
      </cx:numDim>
    </cx:data>
    <cx:data id="2">
      <cx:numDim type="val">
        <cx:f>Tx_Homicídios!$D$4:$D$157</cx:f>
        <cx:lvl ptCount="154" formatCode="Geral">
          <cx:pt idx="0">22.624782263900656</cx:pt>
          <cx:pt idx="1">21.092116717964053</cx:pt>
          <cx:pt idx="2">19.992083135095776</cx:pt>
          <cx:pt idx="3">21.203791782674028</cx:pt>
          <cx:pt idx="4">9.6604448350801082</cx:pt>
          <cx:pt idx="5">19.371293894800719</cx:pt>
          <cx:pt idx="6">21.240811607919913</cx:pt>
          <cx:pt idx="7">25.726430926261528</cx:pt>
          <cx:pt idx="8">22.042170345145554</cx:pt>
          <cx:pt idx="9">17.900267247830893</cx:pt>
          <cx:pt idx="10">18.596156491946708</cx:pt>
          <cx:pt idx="11">23.216231842897599</cx:pt>
          <cx:pt idx="12">19.826367331912412</cx:pt>
          <cx:pt idx="13">18.848271415113636</cx:pt>
          <cx:pt idx="14">21.246075377726406</cx:pt>
          <cx:pt idx="15">22.465943671759906</cx:pt>
          <cx:pt idx="16">21.907092554814152</cx:pt>
          <cx:pt idx="17">27.142877748203468</cx:pt>
          <cx:pt idx="18">30.136658153716617</cx:pt>
          <cx:pt idx="19">29.36359471151016</cx:pt>
          <cx:pt idx="20">27.006744218755017</cx:pt>
          <cx:pt idx="21">44.447872930494732</cx:pt>
          <cx:pt idx="22">18.274058293405364</cx:pt>
          <cx:pt idx="23">18.750426383865175</cx:pt>
          <cx:pt idx="24">18.938424111763002</cx:pt>
          <cx:pt idx="25">21.263985235827629</cx:pt>
          <cx:pt idx="26">20.419716224062231</cx:pt>
          <cx:pt idx="27">19.875152752483469</cx:pt>
          <cx:pt idx="28">16.48151966507427</cx:pt>
          <cx:pt idx="29">17.28676171684387</cx:pt>
          <cx:pt idx="30">17.966593727020033</cx:pt>
          <cx:pt idx="31">16.575944785927096</cx:pt>
          <cx:pt idx="32">18.489193910241386</cx:pt>
          <cx:pt idx="33">21.032452350776691</cx:pt>
          <cx:pt idx="34">21.052017057423242</cx:pt>
          <cx:pt idx="35">23.992659667052248</cx:pt>
          <cx:pt idx="36">25.944497521807762</cx:pt>
          <cx:pt idx="37">30.020814801547417</cx:pt>
          <cx:pt idx="38">35.148676724495211</cx:pt>
          <cx:pt idx="39">35.926453417525899</cx:pt>
          <cx:pt idx="40">31.224387270618596</cx:pt>
          <cx:pt idx="41">31.803717369219246</cx:pt>
          <cx:pt idx="42">37.376295760242641</cx:pt>
          <cx:pt idx="43">36.159930349023334</cx:pt>
          <cx:pt idx="44">38.321693757531499</cx:pt>
          <cx:pt idx="45">43.219425550583331</cx:pt>
          <cx:pt idx="46">34.087572715975661</cx:pt>
          <cx:pt idx="47">38.732151725455374</cx:pt>
          <cx:pt idx="48">43.885279785705528</cx:pt>
          <cx:pt idx="49">32.492579114168365</cx:pt>
          <cx:pt idx="50">36.893340150584315</cx:pt>
          <cx:pt idx="51">35.042612591322346</cx:pt>
          <cx:pt idx="52">33.755476371242004</cx:pt>
          <cx:pt idx="53">29.768807136175262</cx:pt>
          <cx:pt idx="54">32.995794188672399</cx:pt>
          <cx:pt idx="55">32.962378135130962</cx:pt>
          <cx:pt idx="56">27.492584825188779</cx:pt>
          <cx:pt idx="57">32.209774592936924</cx:pt>
          <cx:pt idx="58">28.385280887323109</cx:pt>
          <cx:pt idx="59">37.890545871601915</cx:pt>
          <cx:pt idx="60">29.745046524659905</cx:pt>
          <cx:pt idx="61">35.053261483422872</cx:pt>
          <cx:pt idx="62">30.612411496097462</cx:pt>
          <cx:pt idx="63">34.092195417548893</cx:pt>
          <cx:pt idx="64">38.216128510554135</cx:pt>
          <cx:pt idx="65">48.702855061077798</cx:pt>
          <cx:pt idx="66">12.755605354410871</cx:pt>
          <cx:pt idx="67">12.484464734934159</cx:pt>
          <cx:pt idx="68">13.201885498240717</cx:pt>
          <cx:pt idx="69">13.331135169562206</cx:pt>
          <cx:pt idx="70">10.821438952391931</cx:pt>
          <cx:pt idx="71">13.016150523540579</cx:pt>
          <cx:pt idx="72">15.059027445424423</cx:pt>
          <cx:pt idx="73">18.377057870220121</cx:pt>
          <cx:pt idx="74">20.738905563669743</cx:pt>
          <cx:pt idx="75">21.97086765209675</cx:pt>
          <cx:pt idx="76">27.361302901827681</cx:pt>
          <cx:pt idx="77">28.741463747942309</cx:pt>
          <cx:pt idx="78">29.899683617387566</cx:pt>
          <cx:pt idx="79">38.345312862877279</cx:pt>
          <cx:pt idx="80">39.520034317554043</cx:pt>
          <cx:pt idx="81">45.782168781329695</cx:pt>
          <cx:pt idx="82">39.344720770522045</cx:pt>
          <cx:pt idx="83">41.033676542227951</cx:pt>
          <cx:pt idx="84">42.454373177582134</cx:pt>
          <cx:pt idx="85">42.550598792023095</cx:pt>
          <cx:pt idx="86">44.866460696817249</cx:pt>
          <cx:pt idx="87">50.749046027705191</cx:pt>
          <cx:pt idx="88">24.411984716757082</cx:pt>
          <cx:pt idx="89">24.404013321330286</cx:pt>
          <cx:pt idx="90">28.195084497637815</cx:pt>
          <cx:pt idx="91">38.317448700460943</cx:pt>
          <cx:pt idx="92">33.46616986624462</cx:pt>
          <cx:pt idx="93">33.773328781919091</cx:pt>
          <cx:pt idx="94">40.13131819660704</cx:pt>
          <cx:pt idx="95">42.325056433414666</cx:pt>
          <cx:pt idx="96">37.369408703044037</cx:pt>
          <cx:pt idx="97">37.007738504090455</cx:pt>
          <cx:pt idx="98">35.871743617922142</cx:pt>
          <cx:pt idx="99">37.102464303722556</cx:pt>
          <cx:pt idx="100">27.061985131616773</cx:pt>
          <cx:pt idx="101">28.942647176131093</cx:pt>
          <cx:pt idx="102">32.12223760946253</cx:pt>
          <cx:pt idx="103">32.101223453359914</cx:pt>
          <cx:pt idx="104">26.220607855388</cx:pt>
          <cx:pt idx="105">30.340800997132607</cx:pt>
          <cx:pt idx="106">27.542885313982168</cx:pt>
          <cx:pt idx="107">32.71306240590215</cx:pt>
          <cx:pt idx="108">33.481095058020124</cx:pt>
          <cx:pt idx="109">38.550220754562851</cx:pt>
          <cx:pt idx="110">33.562934315842661</cx:pt>
          <cx:pt idx="111">43.296874936768987</cx:pt>
          <cx:pt idx="112">35.363735667832486</cx:pt>
          <cx:pt idx="113">50.632717174047187</cx:pt>
          <cx:pt idx="114">57.696486508738424</cx:pt>
          <cx:pt idx="115">39.457824825739998</cx:pt>
          <cx:pt idx="116">31.726923111138387</cx:pt>
          <cx:pt idx="117">34.883787975748874</cx:pt>
          <cx:pt idx="118">28.038063182626441</cx:pt>
          <cx:pt idx="119">21.662011457927044</cx:pt>
          <cx:pt idx="120">24.302350057184324</cx:pt>
          <cx:pt idx="121">26.338851721824913</cx:pt>
          <cx:pt idx="122">27.013935464649574</cx:pt>
          <cx:pt idx="123">23.380715222912482</cx:pt>
          <cx:pt idx="124">26.165820342825207</cx:pt>
          <cx:pt idx="125">26.265577549685116</cx:pt>
          <cx:pt idx="126">20.002425826133162</cx:pt>
          <cx:pt idx="127">30.05804960831691</cx:pt>
          <cx:pt idx="128">43.845989935892021</cx:pt>
          <cx:pt idx="129">31.795734541808805</cx:pt>
          <cx:pt idx="130">40.144440884834964</cx:pt>
          <cx:pt idx="131">39.671041500956662</cx:pt>
          <cx:pt idx="132">7.4479315108067938</cx:pt>
          <cx:pt idx="133">12.206262957237564</cx:pt>
          <cx:pt idx="134">11.195939112595655</cx:pt>
          <cx:pt idx="135">12.095980704196544</cx:pt>
          <cx:pt idx="136">13.041037855145651</cx:pt>
          <cx:pt idx="137">15.383312390131163</cx:pt>
          <cx:pt idx="138">18.652071350504425</cx:pt>
          <cx:pt idx="139">14.912908613695617</cx:pt>
          <cx:pt idx="140">16.586007209737978</cx:pt>
          <cx:pt idx="141">15.718850049952026</cx:pt>
          <cx:pt idx="142">14.68827001493205</cx:pt>
          <cx:pt idx="143">17.721657949630057</cx:pt>
          <cx:pt idx="144">16.863323244123826</cx:pt>
          <cx:pt idx="145">18.048038180533439</cx:pt>
          <cx:pt idx="146">20.787441090020103</cx:pt>
          <cx:pt idx="147">22.831388084986806</cx:pt>
          <cx:pt idx="148">24.873634295035071</cx:pt>
          <cx:pt idx="149">25.291902136103921</cx:pt>
          <cx:pt idx="150">23.339764735173272</cx:pt>
          <cx:pt idx="151">24.919679130749632</cx:pt>
          <cx:pt idx="152">32.472375380663927</cx:pt>
          <cx:pt idx="153">36.923430199710054</cx:pt>
        </cx:lvl>
      </cx:numDim>
    </cx:data>
    <cx:data id="3">
      <cx:numDim type="val">
        <cx:f>Tx_Homicídios!$E$4:$E$91</cx:f>
        <cx:lvl ptCount="88" formatCode="Geral">
          <cx:pt idx="0">41.555182986342928</cx:pt>
          <cx:pt idx="1">42.780069411464588</cx:pt>
          <cx:pt idx="2">49.980249740029826</cx:pt>
          <cx:pt idx="3">58.365624374046341</cx:pt>
          <cx:pt idx="4">52.517826449517784</cx:pt>
          <cx:pt idx="5">46.783708808375302</cx:pt>
          <cx:pt idx="6">46.655391613694285</cx:pt>
          <cx:pt idx="7">51.19136262099655</cx:pt>
          <cx:pt idx="8">48.678595761482278</cx:pt>
          <cx:pt idx="9">47.687161925384594</cx:pt>
          <cx:pt idx="10">46.521127325455836</cx:pt>
          <cx:pt idx="11">50.281876857886864</cx:pt>
          <cx:pt idx="12">52.612179198157662</cx:pt>
          <cx:pt idx="13">53.633100682402777</cx:pt>
          <cx:pt idx="14">54.002365567461943</cx:pt>
          <cx:pt idx="15">48.333325219181795</cx:pt>
          <cx:pt idx="16">44.612619097144638</cx:pt>
          <cx:pt idx="17">43.766283825934373</cx:pt>
          <cx:pt idx="18">42.116328581331011</cx:pt>
          <cx:pt idx="19">41.415594811853474</cx:pt>
          <cx:pt idx="20">36.845486873147934</cx:pt>
          <cx:pt idx="21">31.859500107833526</cx:pt>
          <cx:pt idx="22">7.1855397858101977</cx:pt>
          <cx:pt idx="23">7.3473786022579199</cx:pt>
          <cx:pt idx="24">7.7314824783453266</cx:pt>
          <cx:pt idx="25">8.5963570042492261</cx:pt>
          <cx:pt idx="26">8.9384492946755323</cx:pt>
          <cx:pt idx="27">11.469137233600712</cx:pt>
          <cx:pt idx="28">12.925453179746468</cx:pt>
          <cx:pt idx="29">16.229166073818771</cx:pt>
          <cx:pt idx="30">20.497804634983908</cx:pt>
          <cx:pt idx="31">22.390474980412055</cx:pt>
          <cx:pt idx="32">21.928736388812958</cx:pt>
          <cx:pt idx="33">21.396635250541351</cx:pt>
          <cx:pt idx="34">20.979077084990806</cx:pt>
          <cx:pt idx="35">19.511493729443913</cx:pt>
          <cx:pt idx="36">18.6003700086608</cx:pt>
          <cx:pt idx="37">17.909347412881718</cx:pt>
          <cx:pt idx="38">20.749479476819182</cx:pt>
          <cx:pt idx="39">21.944711261013651</cx:pt>
          <cx:pt idx="40">22.57038629352013</cx:pt>
          <cx:pt idx="41">22.494457894173287</cx:pt>
          <cx:pt idx="42">21.510340225160544</cx:pt>
          <cx:pt idx="43">21.778720956141257</cx:pt>
          <cx:pt idx="44">61.542779639841797</cx:pt>
          <cx:pt idx="45">60.038901090456065</cx:pt>
          <cx:pt idx="46">58.765155670840379</cx:pt>
          <cx:pt idx="47">55.323160274692299</cx:pt>
          <cx:pt idx="48">52.500954562812865</cx:pt>
          <cx:pt idx="49">50.98225439538799</cx:pt>
          <cx:pt idx="50">50.499496481831734</cx:pt>
          <cx:pt idx="51">56.511337345097139</cx:pt>
          <cx:pt idx="52">48.949597574543205</cx:pt>
          <cx:pt idx="53">46.589803678342577</cx:pt>
          <cx:pt idx="54">45.288703533842664</cx:pt>
          <cx:pt idx="55">43.525711635792199</cx:pt>
          <cx:pt idx="56">38.289447266153395</cx:pt>
          <cx:pt idx="57">32.666568583877527</cx:pt>
          <cx:pt idx="58">30.865880764465178</cx:pt>
          <cx:pt idx="59">32.350375469644064</cx:pt>
          <cx:pt idx="60">27.263462416441239</cx:pt>
          <cx:pt idx="61">26.815806135730885</cx:pt>
          <cx:pt idx="62">28.938531370421853</cx:pt>
          <cx:pt idx="63">32.172672971412787</cx:pt>
          <cx:pt idx="64">28.906328691432503</cx:pt>
          <cx:pt idx="65">34.016598705589715</cx:pt>
          <cx:pt idx="66">34.321080743112404</cx:pt>
          <cx:pt idx="67">36.196723771519515</cx:pt>
          <cx:pt idx="68">36.118657732626012</cx:pt>
          <cx:pt idx="69">39.680884181122977</cx:pt>
          <cx:pt idx="70">44.141415134112442</cx:pt>
          <cx:pt idx="71">42.20898114550026</cx:pt>
          <cx:pt idx="72">41.841498980677883</cx:pt>
          <cx:pt idx="73">37.964537130467718</cx:pt>
          <cx:pt idx="74">34.176259354193192</cx:pt>
          <cx:pt idx="75">27.322083455071542</cx:pt>
          <cx:pt idx="76">21.089830104925849</cx:pt>
          <cx:pt idx="77">20.253113723614302</cx:pt>
          <cx:pt idx="78">15.409203615281431</cx:pt>
          <cx:pt idx="79">14.977777871393517</cx:pt>
          <cx:pt idx="80">15.213901014581307</cx:pt>
          <cx:pt idx="81">13.891407978242347</cx:pt>
          <cx:pt idx="82">13.297364463763579</cx:pt>
          <cx:pt idx="83">14.79620856629446</cx:pt>
          <cx:pt idx="84">13.494056122489148</cx:pt>
          <cx:pt idx="85">13.707198302494628</cx:pt>
          <cx:pt idx="86">11.949150900772587</cx:pt>
          <cx:pt idx="87">10.625769795686033</cx:pt>
        </cx:lvl>
      </cx:numDim>
    </cx:data>
    <cx:data id="4">
      <cx:numDim type="val">
        <cx:f>Tx_Homicídios!$F$4:$F$69</cx:f>
        <cx:lvl ptCount="66" formatCode="Geral">
          <cx:pt idx="0">15.930575744557254</cx:pt>
          <cx:pt idx="1">15.249110264959704</cx:pt>
          <cx:pt idx="2">17.348118101091245</cx:pt>
          <cx:pt idx="3">17.637295762982955</cx:pt>
          <cx:pt idx="4">18.110715346595814</cx:pt>
          <cx:pt idx="5">18.466123864404945</cx:pt>
          <cx:pt idx="6">21.031960637743381</cx:pt>
          <cx:pt idx="7">22.719003384874618</cx:pt>
          <cx:pt idx="8">25.408548520857121</cx:pt>
          <cx:pt idx="9">27.918171553529675</cx:pt>
          <cx:pt idx="10">29.162621715840988</cx:pt>
          <cx:pt idx="11">29.76554035354145</cx:pt>
          <cx:pt idx="12">29.452496653971039</cx:pt>
          <cx:pt idx="13">32.004914885619314</cx:pt>
          <cx:pt idx="14">34.1227944084985</cx:pt>
          <cx:pt idx="15">32.631311201771048</cx:pt>
          <cx:pt idx="16">30.331537007670526</cx:pt>
          <cx:pt idx="17">31.117173435123181</cx:pt>
          <cx:pt idx="18">26.015086203959296</cx:pt>
          <cx:pt idx="19">26.458055905013104</cx:pt>
          <cx:pt idx="20">25.969667893718015</cx:pt>
          <cx:pt idx="21">26.995246701863582</cx:pt>
          <cx:pt idx="22">14.928970983617575</cx:pt>
          <cx:pt idx="23">15.215853383109728</cx:pt>
          <cx:pt idx="24">16.727932420389848</cx:pt>
          <cx:pt idx="25">15.343939366911735</cx:pt>
          <cx:pt idx="26">15.273165018968861</cx:pt>
          <cx:pt idx="27">16.313633230658919</cx:pt>
          <cx:pt idx="28">17.92889273079351</cx:pt>
          <cx:pt idx="29">18.297567067452281</cx:pt>
          <cx:pt idx="30">18.233996350647573</cx:pt>
          <cx:pt idx="31">18.752937287775069</cx:pt>
          <cx:pt idx="32">19.081124949760298</cx:pt>
          <cx:pt idx="33">18.548364480324587</cx:pt>
          <cx:pt idx="34">20.389378629094438</cx:pt>
          <cx:pt idx="35">21.97694241855584</cx:pt>
          <cx:pt idx="36">20.58082657343353</cx:pt>
          <cx:pt idx="37">18.912728647537822</cx:pt>
          <cx:pt idx="38">18.753623012970117</cx:pt>
          <cx:pt idx="39">21.429329050589899</cx:pt>
          <cx:pt idx="40">20.794953160736096</cx:pt>
          <cx:pt idx="41">24.302804916759353</cx:pt>
          <cx:pt idx="42">26.180296516755035</cx:pt>
          <cx:pt idx="43">28.581169591087374</cx:pt>
          <cx:pt idx="44">8.3529959549887103</cx:pt>
          <cx:pt idx="45">8.2867647239824418</cx:pt>
          <cx:pt idx="46">8.3697872863964626</cx:pt>
          <cx:pt idx="47">7.9351426386670258</cx:pt>
          <cx:pt idx="48">7.4728740555901485</cx:pt>
          <cx:pt idx="49">7.8971540374475282</cx:pt>
          <cx:pt idx="50">8.4056716627169514</cx:pt>
          <cx:pt idx="51">10.347850595856723</cx:pt>
          <cx:pt idx="52">11.834311550234451</cx:pt>
          <cx:pt idx="53">11.32207247551386</cx:pt>
          <cx:pt idx="54">10.896394211588127</cx:pt>
          <cx:pt idx="55">11.267269418983584</cx:pt>
          <cx:pt idx="56">10.564357413058605</cx:pt>
          <cx:pt idx="57">13.201311753787792</cx:pt>
          <cx:pt idx="58">13.185724934445609</cx:pt>
          <cx:pt idx="59">12.926257511520584</cx:pt>
          <cx:pt idx="60">12.565524946523951</cx:pt>
          <cx:pt idx="61">12.562209010006976</cx:pt>
          <cx:pt idx="62">11.855545620488398</cx:pt>
          <cx:pt idx="63">13.362027890545901</cx:pt>
          <cx:pt idx="64">13.858498842110727</cx:pt>
          <cx:pt idx="65">14.13964540266101</cx:pt>
        </cx:lvl>
      </cx:numDim>
    </cx:data>
  </cx:chartData>
  <cx:chart>
    <cx:plotArea>
      <cx:plotAreaRegion>
        <cx:series layoutId="boxWhisker" uniqueId="{AC8957EB-073C-DA48-8AA4-BC1C838B0048}">
          <cx:tx>
            <cx:txData>
              <cx:f>Tx_Homicídios!$B$3</cx:f>
              <cx:v>Centro-Oeste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
            <cx:dataLabelHidden idx="88"/>
            <cx:dataLabelHidden idx="89"/>
            <cx:dataLabelHidden idx="90"/>
            <cx:dataLabelHidden idx="91"/>
          </cx:dataLabels>
          <cx:dataId val="0"/>
          <cx:layoutPr>
            <cx:visibility meanLine="0" meanMarker="1" nonoutliers="0" outliers="1"/>
            <cx:statistics quartileMethod="exclusive"/>
          </cx:layoutPr>
        </cx:series>
        <cx:series layoutId="boxWhisker" uniqueId="{00000001-56CE-614C-B92B-3680B9A04F3D}">
          <cx:tx>
            <cx:txData>
              <cx:f>Tx_Homicídios!$C$3</cx:f>
              <cx:v>Nordeste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98"/>
            <cx:dataLabelHidden idx="199"/>
            <cx:dataLabelHidden idx="200"/>
            <cx:dataLabelHidden idx="201"/>
          </cx:dataLabels>
          <cx:dataId val="1"/>
          <cx:layoutPr>
            <cx:visibility nonoutliers="0"/>
            <cx:statistics quartileMethod="exclusive"/>
          </cx:layoutPr>
        </cx:series>
        <cx:series layoutId="boxWhisker" uniqueId="{00000002-56CE-614C-B92B-3680B9A04F3D}">
          <cx:tx>
            <cx:txData>
              <cx:f>Tx_Homicídios!$D$3</cx:f>
              <cx:v>Norte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154"/>
            <cx:dataLabelHidden idx="155"/>
            <cx:dataLabelHidden idx="156"/>
            <cx:dataLabelHidden idx="157"/>
          </cx:dataLabels>
          <cx:dataId val="2"/>
          <cx:layoutPr>
            <cx:visibility nonoutliers="0"/>
            <cx:statistics quartileMethod="exclusive"/>
          </cx:layoutPr>
        </cx:series>
        <cx:series layoutId="boxWhisker" uniqueId="{00000003-56CE-614C-B92B-3680B9A04F3D}">
          <cx:tx>
            <cx:txData>
              <cx:f>Tx_Homicídios!$E$3</cx:f>
              <cx:v>Sudeste</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88"/>
            <cx:dataLabelHidden idx="89"/>
            <cx:dataLabelHidden idx="90"/>
            <cx:dataLabelHidden idx="91"/>
          </cx:dataLabels>
          <cx:dataId val="3"/>
          <cx:layoutPr>
            <cx:visibility meanLine="0" nonoutliers="0"/>
            <cx:statistics quartileMethod="exclusive"/>
          </cx:layoutPr>
        </cx:series>
        <cx:series layoutId="boxWhisker" uniqueId="{00000004-56CE-614C-B92B-3680B9A04F3D}">
          <cx:tx>
            <cx:txData>
              <cx:f>Tx_Homicídios!$F$3</cx:f>
              <cx:v>Sul</cx:v>
            </cx:txData>
          </cx:tx>
          <cx:spPr>
            <a:noFill/>
            <a:ln>
              <a:solidFill>
                <a:schemeClr val="tx1"/>
              </a:solidFill>
            </a:ln>
          </cx:spPr>
          <cx:dataLabels pos="t">
            <cx:txPr>
              <a:bodyPr spcFirstLastPara="1" vertOverflow="ellipsis" horzOverflow="overflow" wrap="square" lIns="0" tIns="0" rIns="0" bIns="0" anchor="ctr" anchorCtr="1"/>
              <a:lstStyle/>
              <a:p>
                <a:pPr algn="ctr" rtl="0">
                  <a:defRPr sz="1000">
                    <a:solidFill>
                      <a:sysClr val="windowText" lastClr="000000"/>
                    </a:solidFill>
                    <a:latin typeface="Arial" panose="020B0604020202020204" pitchFamily="34" charset="0"/>
                    <a:ea typeface="Arial" panose="020B0604020202020204" pitchFamily="34" charset="0"/>
                    <a:cs typeface="Arial" panose="020B0604020202020204" pitchFamily="34" charset="0"/>
                  </a:defRPr>
                </a:pPr>
                <a:endParaRPr lang="pt-BR" sz="1000" b="0" i="0" u="none" strike="noStrike" baseline="0">
                  <a:solidFill>
                    <a:sysClr val="windowText" lastClr="000000"/>
                  </a:solidFill>
                  <a:latin typeface="Arial" panose="020B0604020202020204" pitchFamily="34" charset="0"/>
                  <a:cs typeface="Arial" panose="020B0604020202020204" pitchFamily="34" charset="0"/>
                </a:endParaRPr>
              </a:p>
            </cx:txPr>
            <cx:visibility seriesName="1" categoryName="0" value="0"/>
            <cx:separator>, </cx:separator>
            <cx:dataLabelHidden idx="0"/>
            <cx:dataLabelHidden idx="66"/>
            <cx:dataLabelHidden idx="67"/>
            <cx:dataLabelHidden idx="68"/>
            <cx:dataLabelHidden idx="69"/>
          </cx:dataLabels>
          <cx:dataId val="4"/>
          <cx:layoutPr>
            <cx:visibility nonoutliers="0"/>
            <cx:statistics quartileMethod="exclusive"/>
          </cx:layoutPr>
        </cx:series>
      </cx:plotAreaRegion>
      <cx:axis id="0" hidden="1">
        <cx:catScaling gapWidth="1"/>
        <cx:tickLabels/>
      </cx:axis>
      <cx:axis id="1">
        <cx:valScaling/>
        <cx:majorGridlines/>
        <cx:tickLabels/>
        <cx:numFmt formatCode="#.##0" sourceLinked="0"/>
        <cx:txPr>
          <a:bodyPr spcFirstLastPara="1" vertOverflow="ellipsis" horzOverflow="overflow" wrap="square" lIns="0" tIns="0" rIns="0" bIns="0" anchor="ctr" anchorCtr="1"/>
          <a:lstStyle/>
          <a:p>
            <a:pPr algn="ctr" rtl="0">
              <a:defRPr sz="1400">
                <a:solidFill>
                  <a:schemeClr val="tx1"/>
                </a:solidFill>
              </a:defRPr>
            </a:pPr>
            <a:endParaRPr lang="pt-BR" sz="1400" b="0" i="0" u="none" strike="noStrike" baseline="0">
              <a:solidFill>
                <a:schemeClr val="tx1"/>
              </a:solidFill>
              <a:latin typeface="Calibri" panose="020F0502020204030204"/>
            </a:endParaRPr>
          </a:p>
        </cx:txPr>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65F32-B5E3-4F75-BD0E-CFBF9A9FF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65</Pages>
  <Words>17893</Words>
  <Characters>96624</Characters>
  <Application>Microsoft Office Word</Application>
  <DocSecurity>0</DocSecurity>
  <Lines>805</Lines>
  <Paragraphs>228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Laercio Marques da Afonseca Junior</dc:creator>
  <cp:lastModifiedBy>Laercio Marques da Afonseca Junior</cp:lastModifiedBy>
  <cp:revision>10</cp:revision>
  <cp:lastPrinted>2019-08-05T11:59:00Z</cp:lastPrinted>
  <dcterms:created xsi:type="dcterms:W3CDTF">2019-08-12T13:02:00Z</dcterms:created>
  <dcterms:modified xsi:type="dcterms:W3CDTF">2019-08-12T13:17:00Z</dcterms:modified>
</cp:coreProperties>
</file>