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40416" w14:textId="41F18F0C" w:rsidR="0052471C" w:rsidRPr="00345115" w:rsidRDefault="00370BD4" w:rsidP="0052471C">
      <w:pPr>
        <w:pStyle w:val="Default"/>
        <w:jc w:val="center"/>
        <w:rPr>
          <w:rFonts w:ascii="Arial" w:hAnsi="Arial" w:cs="Arial"/>
          <w:b/>
          <w:bCs/>
        </w:rPr>
      </w:pPr>
      <w:r>
        <w:rPr>
          <w:noProof/>
        </w:rPr>
        <w:drawing>
          <wp:inline distT="0" distB="0" distL="0" distR="0" wp14:anchorId="5DEFD061" wp14:editId="095CA34E">
            <wp:extent cx="5391150" cy="552450"/>
            <wp:effectExtent l="0" t="0" r="0" b="0"/>
            <wp:docPr id="4" name="Imagem 4" descr="logo_extenso-uma-lin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extenso-uma-linh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1150" cy="552450"/>
                    </a:xfrm>
                    <a:prstGeom prst="rect">
                      <a:avLst/>
                    </a:prstGeom>
                    <a:noFill/>
                    <a:ln>
                      <a:noFill/>
                    </a:ln>
                  </pic:spPr>
                </pic:pic>
              </a:graphicData>
            </a:graphic>
          </wp:inline>
        </w:drawing>
      </w:r>
    </w:p>
    <w:p w14:paraId="22FD636F" w14:textId="77777777" w:rsidR="0052471C" w:rsidRPr="00345115" w:rsidRDefault="0052471C" w:rsidP="0052471C">
      <w:pPr>
        <w:pStyle w:val="Default"/>
        <w:jc w:val="center"/>
        <w:rPr>
          <w:rFonts w:ascii="Arial" w:hAnsi="Arial" w:cs="Arial"/>
          <w:b/>
          <w:bCs/>
        </w:rPr>
      </w:pPr>
    </w:p>
    <w:p w14:paraId="6DDC6FF0" w14:textId="77777777" w:rsidR="0052471C" w:rsidRPr="00345115" w:rsidRDefault="0052471C" w:rsidP="0052471C">
      <w:pPr>
        <w:pStyle w:val="Default"/>
        <w:jc w:val="center"/>
        <w:rPr>
          <w:rFonts w:ascii="Arial" w:hAnsi="Arial" w:cs="Arial"/>
          <w:b/>
          <w:bCs/>
        </w:rPr>
      </w:pPr>
    </w:p>
    <w:p w14:paraId="5A7BA257" w14:textId="6B09A389" w:rsidR="0052471C" w:rsidRDefault="0052471C" w:rsidP="0052471C">
      <w:pPr>
        <w:pStyle w:val="Default"/>
        <w:jc w:val="center"/>
        <w:rPr>
          <w:rFonts w:ascii="Arial" w:hAnsi="Arial" w:cs="Arial"/>
          <w:bCs/>
        </w:rPr>
      </w:pPr>
      <w:r w:rsidRPr="00345115">
        <w:rPr>
          <w:rFonts w:ascii="Arial" w:hAnsi="Arial" w:cs="Arial"/>
          <w:bCs/>
        </w:rPr>
        <w:t>Gabriela Lopes Souto</w:t>
      </w:r>
    </w:p>
    <w:p w14:paraId="6BD3B95A" w14:textId="347A91D4" w:rsidR="00370BD4" w:rsidRDefault="00370BD4" w:rsidP="0052471C">
      <w:pPr>
        <w:pStyle w:val="Default"/>
        <w:jc w:val="center"/>
        <w:rPr>
          <w:rFonts w:ascii="Arial" w:hAnsi="Arial" w:cs="Arial"/>
          <w:bCs/>
        </w:rPr>
      </w:pPr>
    </w:p>
    <w:p w14:paraId="5D394DA7" w14:textId="7A64DF20" w:rsidR="00370BD4" w:rsidRDefault="00370BD4" w:rsidP="0052471C">
      <w:pPr>
        <w:pStyle w:val="Default"/>
        <w:jc w:val="center"/>
        <w:rPr>
          <w:rFonts w:ascii="Arial" w:hAnsi="Arial" w:cs="Arial"/>
          <w:bCs/>
        </w:rPr>
      </w:pPr>
    </w:p>
    <w:p w14:paraId="0AD0B834" w14:textId="043753D3" w:rsidR="00370BD4" w:rsidRDefault="00370BD4" w:rsidP="0052471C">
      <w:pPr>
        <w:pStyle w:val="Default"/>
        <w:jc w:val="center"/>
        <w:rPr>
          <w:rFonts w:ascii="Arial" w:hAnsi="Arial" w:cs="Arial"/>
          <w:bCs/>
        </w:rPr>
      </w:pPr>
    </w:p>
    <w:p w14:paraId="59976A37" w14:textId="20D2B266" w:rsidR="00370BD4" w:rsidRDefault="00370BD4" w:rsidP="0052471C">
      <w:pPr>
        <w:pStyle w:val="Default"/>
        <w:jc w:val="center"/>
        <w:rPr>
          <w:rFonts w:ascii="Arial" w:hAnsi="Arial" w:cs="Arial"/>
          <w:bCs/>
        </w:rPr>
      </w:pPr>
    </w:p>
    <w:p w14:paraId="4E12B48B" w14:textId="3EA508E5" w:rsidR="00370BD4" w:rsidRDefault="00370BD4" w:rsidP="0052471C">
      <w:pPr>
        <w:pStyle w:val="Default"/>
        <w:jc w:val="center"/>
        <w:rPr>
          <w:rFonts w:ascii="Arial" w:hAnsi="Arial" w:cs="Arial"/>
          <w:bCs/>
        </w:rPr>
      </w:pPr>
    </w:p>
    <w:p w14:paraId="5C530F35" w14:textId="797B522C" w:rsidR="00370BD4" w:rsidRDefault="00370BD4" w:rsidP="0052471C">
      <w:pPr>
        <w:pStyle w:val="Default"/>
        <w:jc w:val="center"/>
        <w:rPr>
          <w:rFonts w:ascii="Arial" w:hAnsi="Arial" w:cs="Arial"/>
          <w:bCs/>
        </w:rPr>
      </w:pPr>
    </w:p>
    <w:p w14:paraId="0B0C4DBC" w14:textId="720EE090" w:rsidR="00370BD4" w:rsidRDefault="00370BD4" w:rsidP="0052471C">
      <w:pPr>
        <w:pStyle w:val="Default"/>
        <w:jc w:val="center"/>
        <w:rPr>
          <w:rFonts w:ascii="Arial" w:hAnsi="Arial" w:cs="Arial"/>
          <w:bCs/>
        </w:rPr>
      </w:pPr>
    </w:p>
    <w:p w14:paraId="3FC9E827" w14:textId="3FDBF31D" w:rsidR="00370BD4" w:rsidRDefault="00370BD4" w:rsidP="0052471C">
      <w:pPr>
        <w:pStyle w:val="Default"/>
        <w:jc w:val="center"/>
        <w:rPr>
          <w:rFonts w:ascii="Arial" w:hAnsi="Arial" w:cs="Arial"/>
          <w:bCs/>
        </w:rPr>
      </w:pPr>
    </w:p>
    <w:p w14:paraId="740A7C4B" w14:textId="514F4481" w:rsidR="00370BD4" w:rsidRDefault="00370BD4" w:rsidP="0052471C">
      <w:pPr>
        <w:pStyle w:val="Default"/>
        <w:jc w:val="center"/>
        <w:rPr>
          <w:rFonts w:ascii="Arial" w:hAnsi="Arial" w:cs="Arial"/>
          <w:bCs/>
        </w:rPr>
      </w:pPr>
    </w:p>
    <w:p w14:paraId="6903DB0F" w14:textId="53F7B241" w:rsidR="00370BD4" w:rsidRDefault="00370BD4" w:rsidP="0052471C">
      <w:pPr>
        <w:pStyle w:val="Default"/>
        <w:jc w:val="center"/>
        <w:rPr>
          <w:rFonts w:ascii="Arial" w:hAnsi="Arial" w:cs="Arial"/>
          <w:bCs/>
        </w:rPr>
      </w:pPr>
    </w:p>
    <w:p w14:paraId="607E3F5A" w14:textId="6651546E" w:rsidR="00370BD4" w:rsidRDefault="00370BD4" w:rsidP="0052471C">
      <w:pPr>
        <w:pStyle w:val="Default"/>
        <w:jc w:val="center"/>
        <w:rPr>
          <w:rFonts w:ascii="Arial" w:hAnsi="Arial" w:cs="Arial"/>
          <w:bCs/>
        </w:rPr>
      </w:pPr>
    </w:p>
    <w:p w14:paraId="59210003" w14:textId="620A5D30" w:rsidR="00370BD4" w:rsidRDefault="00370BD4" w:rsidP="0052471C">
      <w:pPr>
        <w:pStyle w:val="Default"/>
        <w:jc w:val="center"/>
        <w:rPr>
          <w:rFonts w:ascii="Arial" w:hAnsi="Arial" w:cs="Arial"/>
          <w:bCs/>
        </w:rPr>
      </w:pPr>
    </w:p>
    <w:p w14:paraId="42A5DC12" w14:textId="6FF86C03" w:rsidR="00370BD4" w:rsidRDefault="00370BD4" w:rsidP="0052471C">
      <w:pPr>
        <w:pStyle w:val="Default"/>
        <w:jc w:val="center"/>
        <w:rPr>
          <w:rFonts w:ascii="Arial" w:hAnsi="Arial" w:cs="Arial"/>
          <w:bCs/>
        </w:rPr>
      </w:pPr>
    </w:p>
    <w:p w14:paraId="2854A840" w14:textId="52C76E26" w:rsidR="00370BD4" w:rsidRDefault="00370BD4" w:rsidP="0052471C">
      <w:pPr>
        <w:pStyle w:val="Default"/>
        <w:jc w:val="center"/>
        <w:rPr>
          <w:rFonts w:ascii="Arial" w:hAnsi="Arial" w:cs="Arial"/>
          <w:bCs/>
        </w:rPr>
      </w:pPr>
    </w:p>
    <w:p w14:paraId="47D98BE9" w14:textId="7FD936E4" w:rsidR="00370BD4" w:rsidRDefault="00370BD4" w:rsidP="0052471C">
      <w:pPr>
        <w:pStyle w:val="Default"/>
        <w:jc w:val="center"/>
        <w:rPr>
          <w:rFonts w:ascii="Arial" w:hAnsi="Arial" w:cs="Arial"/>
          <w:bCs/>
        </w:rPr>
      </w:pPr>
    </w:p>
    <w:p w14:paraId="4B1BD372" w14:textId="058B97C1" w:rsidR="00370BD4" w:rsidRDefault="00370BD4" w:rsidP="0052471C">
      <w:pPr>
        <w:pStyle w:val="Default"/>
        <w:jc w:val="center"/>
        <w:rPr>
          <w:rFonts w:ascii="Arial" w:hAnsi="Arial" w:cs="Arial"/>
          <w:bCs/>
        </w:rPr>
      </w:pPr>
    </w:p>
    <w:p w14:paraId="57498AB3" w14:textId="3B5AC8B9" w:rsidR="00370BD4" w:rsidRDefault="00370BD4" w:rsidP="0052471C">
      <w:pPr>
        <w:pStyle w:val="Default"/>
        <w:jc w:val="center"/>
        <w:rPr>
          <w:rFonts w:ascii="Arial" w:hAnsi="Arial" w:cs="Arial"/>
          <w:bCs/>
        </w:rPr>
      </w:pPr>
    </w:p>
    <w:p w14:paraId="24D336ED" w14:textId="77777777" w:rsidR="00370BD4" w:rsidRPr="00345115" w:rsidRDefault="00370BD4" w:rsidP="0052471C">
      <w:pPr>
        <w:pStyle w:val="Default"/>
        <w:jc w:val="center"/>
        <w:rPr>
          <w:rFonts w:ascii="Arial" w:hAnsi="Arial" w:cs="Arial"/>
          <w:bCs/>
        </w:rPr>
      </w:pPr>
    </w:p>
    <w:p w14:paraId="540FDAD1" w14:textId="77777777" w:rsidR="0052471C" w:rsidRPr="00345115" w:rsidRDefault="0052471C" w:rsidP="0052471C">
      <w:pPr>
        <w:pStyle w:val="Default"/>
        <w:jc w:val="center"/>
        <w:rPr>
          <w:rFonts w:ascii="Arial" w:hAnsi="Arial" w:cs="Arial"/>
          <w:b/>
          <w:bCs/>
        </w:rPr>
      </w:pPr>
    </w:p>
    <w:p w14:paraId="7F4A5D63" w14:textId="4B19054F" w:rsidR="0052471C" w:rsidRPr="00345115" w:rsidRDefault="00370BD4" w:rsidP="0052471C">
      <w:pPr>
        <w:pStyle w:val="Default"/>
        <w:jc w:val="center"/>
        <w:rPr>
          <w:rFonts w:ascii="Arial" w:hAnsi="Arial" w:cs="Arial"/>
          <w:b/>
          <w:bCs/>
        </w:rPr>
      </w:pPr>
      <w:r w:rsidRPr="00345115">
        <w:rPr>
          <w:rFonts w:ascii="Arial" w:hAnsi="Arial" w:cs="Arial"/>
          <w:b/>
          <w:bCs/>
        </w:rPr>
        <w:t xml:space="preserve">TRAJETÓRIAS DE ENDIVIDAMENTO E REGRAS FISCAIS </w:t>
      </w:r>
    </w:p>
    <w:p w14:paraId="62ED9A85" w14:textId="77777777" w:rsidR="0052471C" w:rsidRPr="00345115" w:rsidRDefault="0052471C" w:rsidP="0052471C">
      <w:pPr>
        <w:pStyle w:val="Default"/>
        <w:jc w:val="center"/>
        <w:rPr>
          <w:rFonts w:ascii="Arial" w:hAnsi="Arial" w:cs="Arial"/>
          <w:b/>
          <w:bCs/>
        </w:rPr>
      </w:pPr>
    </w:p>
    <w:p w14:paraId="504DCE63" w14:textId="77777777" w:rsidR="0052471C" w:rsidRPr="00345115" w:rsidRDefault="0052471C" w:rsidP="0052471C">
      <w:pPr>
        <w:pStyle w:val="Default"/>
        <w:rPr>
          <w:rFonts w:ascii="Arial" w:hAnsi="Arial" w:cs="Arial"/>
          <w:b/>
          <w:bCs/>
        </w:rPr>
      </w:pPr>
    </w:p>
    <w:p w14:paraId="53F37F49" w14:textId="77777777" w:rsidR="0052471C" w:rsidRPr="00345115" w:rsidRDefault="0052471C" w:rsidP="0052471C">
      <w:pPr>
        <w:pStyle w:val="Default"/>
        <w:rPr>
          <w:rFonts w:ascii="Arial" w:hAnsi="Arial" w:cs="Arial"/>
          <w:b/>
          <w:bCs/>
        </w:rPr>
      </w:pPr>
    </w:p>
    <w:p w14:paraId="3F66ECC2" w14:textId="77777777" w:rsidR="0052471C" w:rsidRPr="00345115" w:rsidRDefault="0052471C" w:rsidP="0052471C">
      <w:pPr>
        <w:pStyle w:val="Default"/>
        <w:rPr>
          <w:rFonts w:ascii="Arial" w:hAnsi="Arial" w:cs="Arial"/>
          <w:b/>
          <w:bCs/>
        </w:rPr>
      </w:pPr>
    </w:p>
    <w:p w14:paraId="6A95B520" w14:textId="77777777" w:rsidR="0052471C" w:rsidRPr="00345115" w:rsidRDefault="0052471C" w:rsidP="0052471C">
      <w:pPr>
        <w:pStyle w:val="Default"/>
        <w:rPr>
          <w:rFonts w:ascii="Arial" w:hAnsi="Arial" w:cs="Arial"/>
          <w:b/>
          <w:bCs/>
        </w:rPr>
      </w:pPr>
    </w:p>
    <w:p w14:paraId="0C5286FD" w14:textId="77777777" w:rsidR="0052471C" w:rsidRPr="00345115" w:rsidRDefault="0052471C" w:rsidP="0052471C">
      <w:pPr>
        <w:pStyle w:val="Default"/>
        <w:rPr>
          <w:rFonts w:ascii="Arial" w:hAnsi="Arial" w:cs="Arial"/>
          <w:b/>
          <w:bCs/>
        </w:rPr>
      </w:pPr>
    </w:p>
    <w:p w14:paraId="55113CC6" w14:textId="77777777" w:rsidR="0052471C" w:rsidRPr="00345115" w:rsidRDefault="0052471C" w:rsidP="0052471C">
      <w:pPr>
        <w:pStyle w:val="Default"/>
        <w:rPr>
          <w:rFonts w:ascii="Arial" w:hAnsi="Arial" w:cs="Arial"/>
          <w:b/>
          <w:bCs/>
        </w:rPr>
      </w:pPr>
    </w:p>
    <w:p w14:paraId="11555FDC" w14:textId="77777777" w:rsidR="0052471C" w:rsidRPr="00345115" w:rsidRDefault="0052471C" w:rsidP="0052471C">
      <w:pPr>
        <w:pStyle w:val="Default"/>
        <w:rPr>
          <w:rFonts w:ascii="Arial" w:hAnsi="Arial" w:cs="Arial"/>
          <w:b/>
          <w:bCs/>
        </w:rPr>
      </w:pPr>
    </w:p>
    <w:p w14:paraId="134B2BEE" w14:textId="77777777" w:rsidR="0052471C" w:rsidRPr="00345115" w:rsidRDefault="0052471C" w:rsidP="0052471C">
      <w:pPr>
        <w:pStyle w:val="Default"/>
        <w:rPr>
          <w:rFonts w:ascii="Arial" w:hAnsi="Arial" w:cs="Arial"/>
          <w:b/>
          <w:bCs/>
        </w:rPr>
      </w:pPr>
    </w:p>
    <w:p w14:paraId="45E0F4FF" w14:textId="77777777" w:rsidR="0052471C" w:rsidRPr="00345115" w:rsidRDefault="0052471C" w:rsidP="0052471C">
      <w:pPr>
        <w:pStyle w:val="Default"/>
        <w:jc w:val="right"/>
        <w:rPr>
          <w:rFonts w:ascii="Arial" w:hAnsi="Arial" w:cs="Arial"/>
          <w:b/>
          <w:bCs/>
        </w:rPr>
      </w:pPr>
    </w:p>
    <w:p w14:paraId="6223A291" w14:textId="77777777" w:rsidR="0052471C" w:rsidRPr="00345115" w:rsidRDefault="0052471C" w:rsidP="0052471C">
      <w:pPr>
        <w:autoSpaceDE w:val="0"/>
        <w:autoSpaceDN w:val="0"/>
        <w:adjustRightInd w:val="0"/>
        <w:spacing w:after="0" w:line="240" w:lineRule="auto"/>
        <w:jc w:val="right"/>
        <w:rPr>
          <w:rFonts w:ascii="Arial" w:hAnsi="Arial" w:cs="Arial"/>
          <w:sz w:val="24"/>
          <w:szCs w:val="24"/>
        </w:rPr>
      </w:pPr>
      <w:r w:rsidRPr="00345115">
        <w:rPr>
          <w:rFonts w:ascii="Arial" w:hAnsi="Arial" w:cs="Arial"/>
          <w:sz w:val="24"/>
          <w:szCs w:val="24"/>
        </w:rPr>
        <w:t>Projeto de pesquisa apresentado com o</w:t>
      </w:r>
    </w:p>
    <w:p w14:paraId="0C207CE8" w14:textId="0CBDF2C8" w:rsidR="0052471C" w:rsidRPr="00345115" w:rsidRDefault="0052471C" w:rsidP="0052471C">
      <w:pPr>
        <w:autoSpaceDE w:val="0"/>
        <w:autoSpaceDN w:val="0"/>
        <w:adjustRightInd w:val="0"/>
        <w:spacing w:after="0" w:line="240" w:lineRule="auto"/>
        <w:jc w:val="right"/>
        <w:rPr>
          <w:rFonts w:ascii="Arial" w:hAnsi="Arial" w:cs="Arial"/>
          <w:sz w:val="24"/>
          <w:szCs w:val="24"/>
        </w:rPr>
      </w:pPr>
      <w:r w:rsidRPr="00345115">
        <w:rPr>
          <w:rFonts w:ascii="Arial" w:hAnsi="Arial" w:cs="Arial"/>
          <w:sz w:val="24"/>
          <w:szCs w:val="24"/>
        </w:rPr>
        <w:t>objetivo de obtenção de título de especialista</w:t>
      </w:r>
    </w:p>
    <w:p w14:paraId="556476CB" w14:textId="1561530C" w:rsidR="0052471C" w:rsidRPr="00345115" w:rsidRDefault="0052471C" w:rsidP="0052471C">
      <w:pPr>
        <w:autoSpaceDE w:val="0"/>
        <w:autoSpaceDN w:val="0"/>
        <w:adjustRightInd w:val="0"/>
        <w:spacing w:after="0" w:line="240" w:lineRule="auto"/>
        <w:jc w:val="right"/>
        <w:rPr>
          <w:rFonts w:ascii="Arial" w:hAnsi="Arial" w:cs="Arial"/>
          <w:sz w:val="24"/>
          <w:szCs w:val="24"/>
        </w:rPr>
      </w:pPr>
      <w:r w:rsidRPr="00345115">
        <w:rPr>
          <w:rFonts w:ascii="Arial" w:hAnsi="Arial" w:cs="Arial"/>
          <w:sz w:val="24"/>
          <w:szCs w:val="24"/>
        </w:rPr>
        <w:t>em Finanças Públicas.</w:t>
      </w:r>
    </w:p>
    <w:p w14:paraId="0A2E3186" w14:textId="77777777" w:rsidR="0052471C" w:rsidRPr="00345115" w:rsidRDefault="0052471C" w:rsidP="0052471C">
      <w:pPr>
        <w:pStyle w:val="Default"/>
        <w:jc w:val="right"/>
        <w:rPr>
          <w:rFonts w:ascii="Arial" w:hAnsi="Arial" w:cs="Arial"/>
          <w:b/>
          <w:bCs/>
        </w:rPr>
      </w:pPr>
      <w:r w:rsidRPr="00345115">
        <w:rPr>
          <w:rFonts w:ascii="Arial" w:hAnsi="Arial" w:cs="Arial"/>
        </w:rPr>
        <w:t>Prof. Dr. Sérgio Ricardo de Brito Gadelha.</w:t>
      </w:r>
    </w:p>
    <w:p w14:paraId="292EAB1C" w14:textId="77777777" w:rsidR="0052471C" w:rsidRPr="00345115" w:rsidRDefault="0052471C" w:rsidP="0052471C">
      <w:pPr>
        <w:pStyle w:val="Default"/>
        <w:jc w:val="right"/>
        <w:rPr>
          <w:rFonts w:ascii="Arial" w:hAnsi="Arial" w:cs="Arial"/>
          <w:b/>
          <w:bCs/>
        </w:rPr>
      </w:pPr>
    </w:p>
    <w:p w14:paraId="7E672B4F" w14:textId="77777777" w:rsidR="0052471C" w:rsidRPr="00345115" w:rsidRDefault="0052471C" w:rsidP="0052471C">
      <w:pPr>
        <w:pStyle w:val="Default"/>
        <w:jc w:val="right"/>
        <w:rPr>
          <w:rFonts w:ascii="Arial" w:hAnsi="Arial" w:cs="Arial"/>
          <w:b/>
          <w:bCs/>
        </w:rPr>
      </w:pPr>
    </w:p>
    <w:p w14:paraId="56F5633E" w14:textId="77777777" w:rsidR="0052471C" w:rsidRPr="00345115" w:rsidRDefault="0052471C" w:rsidP="0052471C">
      <w:pPr>
        <w:pStyle w:val="Default"/>
        <w:rPr>
          <w:rFonts w:ascii="Arial" w:hAnsi="Arial" w:cs="Arial"/>
          <w:b/>
          <w:bCs/>
        </w:rPr>
      </w:pPr>
    </w:p>
    <w:p w14:paraId="1EED30F2" w14:textId="77777777" w:rsidR="0052471C" w:rsidRPr="00345115" w:rsidRDefault="0052471C" w:rsidP="0052471C">
      <w:pPr>
        <w:pStyle w:val="Default"/>
        <w:rPr>
          <w:rFonts w:ascii="Arial" w:hAnsi="Arial" w:cs="Arial"/>
          <w:b/>
          <w:bCs/>
        </w:rPr>
      </w:pPr>
    </w:p>
    <w:p w14:paraId="0C7B6B37" w14:textId="77777777" w:rsidR="0052471C" w:rsidRPr="00345115" w:rsidRDefault="0052471C" w:rsidP="0052471C">
      <w:pPr>
        <w:pStyle w:val="Default"/>
        <w:rPr>
          <w:rFonts w:ascii="Arial" w:hAnsi="Arial" w:cs="Arial"/>
          <w:b/>
          <w:bCs/>
        </w:rPr>
      </w:pPr>
    </w:p>
    <w:p w14:paraId="75CCD267" w14:textId="77777777" w:rsidR="0052471C" w:rsidRPr="00345115" w:rsidRDefault="0052471C" w:rsidP="0052471C">
      <w:pPr>
        <w:pStyle w:val="Default"/>
        <w:rPr>
          <w:rFonts w:ascii="Arial" w:hAnsi="Arial" w:cs="Arial"/>
          <w:b/>
          <w:bCs/>
        </w:rPr>
      </w:pPr>
    </w:p>
    <w:p w14:paraId="21DF70D0" w14:textId="77777777" w:rsidR="0052471C" w:rsidRPr="00345115" w:rsidRDefault="0052471C" w:rsidP="0052471C">
      <w:pPr>
        <w:pStyle w:val="Default"/>
        <w:rPr>
          <w:rFonts w:ascii="Arial" w:hAnsi="Arial" w:cs="Arial"/>
          <w:b/>
          <w:bCs/>
        </w:rPr>
      </w:pPr>
    </w:p>
    <w:p w14:paraId="13F7A8E4" w14:textId="77777777" w:rsidR="0052471C" w:rsidRPr="00345115" w:rsidRDefault="0052471C" w:rsidP="0052471C">
      <w:pPr>
        <w:pStyle w:val="Default"/>
        <w:rPr>
          <w:rFonts w:ascii="Arial" w:hAnsi="Arial" w:cs="Arial"/>
          <w:b/>
          <w:bCs/>
        </w:rPr>
      </w:pPr>
    </w:p>
    <w:p w14:paraId="1F16F7B1" w14:textId="77777777" w:rsidR="0052471C" w:rsidRPr="00345115" w:rsidRDefault="0052471C" w:rsidP="0052471C">
      <w:pPr>
        <w:pStyle w:val="Default"/>
        <w:rPr>
          <w:rFonts w:ascii="Arial" w:hAnsi="Arial" w:cs="Arial"/>
          <w:b/>
          <w:bCs/>
        </w:rPr>
      </w:pPr>
    </w:p>
    <w:p w14:paraId="4F28F201" w14:textId="573305C1" w:rsidR="0052471C" w:rsidRPr="00345115" w:rsidRDefault="0052471C" w:rsidP="0052471C">
      <w:pPr>
        <w:pStyle w:val="Default"/>
        <w:jc w:val="center"/>
        <w:rPr>
          <w:rFonts w:ascii="Arial" w:hAnsi="Arial" w:cs="Arial"/>
          <w:bCs/>
        </w:rPr>
      </w:pPr>
      <w:r w:rsidRPr="00345115">
        <w:rPr>
          <w:rFonts w:ascii="Arial" w:hAnsi="Arial" w:cs="Arial"/>
          <w:bCs/>
        </w:rPr>
        <w:t xml:space="preserve">Brasília – </w:t>
      </w:r>
      <w:proofErr w:type="gramStart"/>
      <w:r w:rsidRPr="00345115">
        <w:rPr>
          <w:rFonts w:ascii="Arial" w:hAnsi="Arial" w:cs="Arial"/>
          <w:bCs/>
        </w:rPr>
        <w:t xml:space="preserve">DF,  </w:t>
      </w:r>
      <w:r w:rsidR="00772E99" w:rsidRPr="00345115">
        <w:rPr>
          <w:rFonts w:ascii="Arial" w:hAnsi="Arial" w:cs="Arial"/>
          <w:bCs/>
        </w:rPr>
        <w:t xml:space="preserve"> </w:t>
      </w:r>
      <w:proofErr w:type="gramEnd"/>
      <w:r w:rsidR="00772E99" w:rsidRPr="00345115">
        <w:rPr>
          <w:rFonts w:ascii="Arial" w:hAnsi="Arial" w:cs="Arial"/>
          <w:bCs/>
        </w:rPr>
        <w:t xml:space="preserve"> </w:t>
      </w:r>
      <w:r w:rsidR="00B04C9D">
        <w:rPr>
          <w:rFonts w:ascii="Arial" w:hAnsi="Arial" w:cs="Arial"/>
          <w:bCs/>
        </w:rPr>
        <w:t>14</w:t>
      </w:r>
      <w:r w:rsidR="00772E99" w:rsidRPr="00345115">
        <w:rPr>
          <w:rFonts w:ascii="Arial" w:hAnsi="Arial" w:cs="Arial"/>
          <w:bCs/>
        </w:rPr>
        <w:t xml:space="preserve">   de </w:t>
      </w:r>
      <w:r w:rsidR="00503090">
        <w:rPr>
          <w:rFonts w:ascii="Arial" w:hAnsi="Arial" w:cs="Arial"/>
          <w:bCs/>
        </w:rPr>
        <w:t>agosto</w:t>
      </w:r>
      <w:r w:rsidRPr="00345115">
        <w:rPr>
          <w:rFonts w:ascii="Arial" w:hAnsi="Arial" w:cs="Arial"/>
          <w:bCs/>
        </w:rPr>
        <w:t xml:space="preserve"> de 2019</w:t>
      </w:r>
    </w:p>
    <w:p w14:paraId="290AFE7B" w14:textId="74E09531" w:rsidR="006B67C8" w:rsidRPr="00B04C9D" w:rsidRDefault="00772E99" w:rsidP="006B67C8">
      <w:pPr>
        <w:pStyle w:val="Ttulo1"/>
        <w:numPr>
          <w:ilvl w:val="0"/>
          <w:numId w:val="1"/>
        </w:numPr>
        <w:rPr>
          <w:rFonts w:ascii="Arial" w:hAnsi="Arial" w:cs="Arial"/>
          <w:b/>
          <w:bCs/>
          <w:color w:val="auto"/>
          <w:sz w:val="24"/>
          <w:szCs w:val="24"/>
        </w:rPr>
      </w:pPr>
      <w:r w:rsidRPr="00B04C9D">
        <w:rPr>
          <w:rFonts w:ascii="Arial" w:hAnsi="Arial" w:cs="Arial"/>
          <w:b/>
          <w:bCs/>
          <w:color w:val="auto"/>
          <w:sz w:val="24"/>
          <w:szCs w:val="24"/>
        </w:rPr>
        <w:lastRenderedPageBreak/>
        <w:t>INTRODUÇÃO</w:t>
      </w:r>
    </w:p>
    <w:p w14:paraId="25D17DAA" w14:textId="77777777" w:rsidR="006B67C8" w:rsidRPr="00B04C9D" w:rsidRDefault="006B67C8" w:rsidP="006B67C8">
      <w:pPr>
        <w:rPr>
          <w:rFonts w:ascii="Arial" w:hAnsi="Arial" w:cs="Arial"/>
          <w:b/>
          <w:bCs/>
        </w:rPr>
      </w:pPr>
    </w:p>
    <w:p w14:paraId="70CEB972" w14:textId="77777777" w:rsidR="006B67C8" w:rsidRPr="00B04C9D" w:rsidRDefault="006B67C8" w:rsidP="006B67C8">
      <w:pPr>
        <w:pStyle w:val="Ttulo2"/>
        <w:numPr>
          <w:ilvl w:val="1"/>
          <w:numId w:val="1"/>
        </w:numPr>
        <w:rPr>
          <w:rFonts w:ascii="Arial" w:hAnsi="Arial" w:cs="Arial"/>
          <w:b/>
          <w:bCs/>
          <w:color w:val="auto"/>
          <w:sz w:val="24"/>
          <w:szCs w:val="24"/>
        </w:rPr>
      </w:pPr>
      <w:r w:rsidRPr="00B04C9D">
        <w:rPr>
          <w:rFonts w:ascii="Arial" w:hAnsi="Arial" w:cs="Arial"/>
          <w:b/>
          <w:bCs/>
          <w:color w:val="auto"/>
          <w:sz w:val="24"/>
          <w:szCs w:val="24"/>
        </w:rPr>
        <w:t>Contextualização do Tema</w:t>
      </w:r>
    </w:p>
    <w:p w14:paraId="45AD50AF" w14:textId="77777777" w:rsidR="006B67C8" w:rsidRPr="00345115" w:rsidRDefault="006B67C8" w:rsidP="006B67C8">
      <w:pPr>
        <w:rPr>
          <w:rFonts w:ascii="Arial" w:hAnsi="Arial" w:cs="Arial"/>
          <w:sz w:val="24"/>
          <w:szCs w:val="24"/>
        </w:rPr>
      </w:pPr>
    </w:p>
    <w:p w14:paraId="5C906BFE" w14:textId="77777777" w:rsidR="00345115" w:rsidRPr="00345115" w:rsidRDefault="006B67C8" w:rsidP="00882B94">
      <w:pPr>
        <w:spacing w:line="360" w:lineRule="auto"/>
        <w:ind w:firstLine="708"/>
        <w:jc w:val="both"/>
        <w:rPr>
          <w:rFonts w:ascii="Arial" w:hAnsi="Arial" w:cs="Arial"/>
          <w:sz w:val="24"/>
          <w:szCs w:val="24"/>
        </w:rPr>
      </w:pPr>
      <w:r w:rsidRPr="00345115">
        <w:rPr>
          <w:rFonts w:ascii="Arial" w:hAnsi="Arial" w:cs="Arial"/>
          <w:sz w:val="24"/>
          <w:szCs w:val="24"/>
        </w:rPr>
        <w:t>O Brasil passa por um dos períodos mais difíceis</w:t>
      </w:r>
      <w:r w:rsidR="000B5EF5" w:rsidRPr="00345115">
        <w:rPr>
          <w:rFonts w:ascii="Arial" w:hAnsi="Arial" w:cs="Arial"/>
          <w:sz w:val="24"/>
          <w:szCs w:val="24"/>
        </w:rPr>
        <w:t xml:space="preserve"> </w:t>
      </w:r>
      <w:r w:rsidRPr="00345115">
        <w:rPr>
          <w:rFonts w:ascii="Arial" w:hAnsi="Arial" w:cs="Arial"/>
          <w:sz w:val="24"/>
          <w:szCs w:val="24"/>
        </w:rPr>
        <w:t xml:space="preserve">em sua história recente. </w:t>
      </w:r>
      <w:r w:rsidR="00E83F96" w:rsidRPr="00345115">
        <w:rPr>
          <w:rFonts w:ascii="Arial" w:hAnsi="Arial" w:cs="Arial"/>
          <w:sz w:val="24"/>
          <w:szCs w:val="24"/>
        </w:rPr>
        <w:t>Queda na atividade econômica</w:t>
      </w:r>
      <w:r w:rsidR="0034080D" w:rsidRPr="00345115">
        <w:rPr>
          <w:rFonts w:ascii="Arial" w:hAnsi="Arial" w:cs="Arial"/>
          <w:sz w:val="24"/>
          <w:szCs w:val="24"/>
        </w:rPr>
        <w:t>, verificada nos anos de 2015 e 2016,</w:t>
      </w:r>
      <w:r w:rsidRPr="00345115">
        <w:rPr>
          <w:rFonts w:ascii="Arial" w:hAnsi="Arial" w:cs="Arial"/>
          <w:sz w:val="24"/>
          <w:szCs w:val="24"/>
        </w:rPr>
        <w:t xml:space="preserve"> </w:t>
      </w:r>
      <w:r w:rsidR="00131E81" w:rsidRPr="00345115">
        <w:rPr>
          <w:rFonts w:ascii="Arial" w:hAnsi="Arial" w:cs="Arial"/>
          <w:sz w:val="24"/>
          <w:szCs w:val="24"/>
        </w:rPr>
        <w:t xml:space="preserve">contração do investimento (público e privado), </w:t>
      </w:r>
      <w:r w:rsidR="0034080D" w:rsidRPr="00345115">
        <w:rPr>
          <w:rFonts w:ascii="Arial" w:hAnsi="Arial" w:cs="Arial"/>
          <w:sz w:val="24"/>
          <w:szCs w:val="24"/>
        </w:rPr>
        <w:t xml:space="preserve">aumento do desemprego e </w:t>
      </w:r>
      <w:r w:rsidRPr="00345115">
        <w:rPr>
          <w:rFonts w:ascii="Arial" w:hAnsi="Arial" w:cs="Arial"/>
          <w:sz w:val="24"/>
          <w:szCs w:val="24"/>
        </w:rPr>
        <w:t xml:space="preserve">dificuldade de retomada </w:t>
      </w:r>
      <w:r w:rsidR="00131E81" w:rsidRPr="00345115">
        <w:rPr>
          <w:rFonts w:ascii="Arial" w:hAnsi="Arial" w:cs="Arial"/>
          <w:sz w:val="24"/>
          <w:szCs w:val="24"/>
        </w:rPr>
        <w:t>em</w:t>
      </w:r>
      <w:r w:rsidRPr="00345115">
        <w:rPr>
          <w:rFonts w:ascii="Arial" w:hAnsi="Arial" w:cs="Arial"/>
          <w:sz w:val="24"/>
          <w:szCs w:val="24"/>
        </w:rPr>
        <w:t xml:space="preserve"> sua atividade </w:t>
      </w:r>
      <w:r w:rsidR="00131E81" w:rsidRPr="00345115">
        <w:rPr>
          <w:rFonts w:ascii="Arial" w:hAnsi="Arial" w:cs="Arial"/>
          <w:sz w:val="24"/>
          <w:szCs w:val="24"/>
        </w:rPr>
        <w:t>econômica,</w:t>
      </w:r>
      <w:r w:rsidR="0034080D" w:rsidRPr="00345115">
        <w:rPr>
          <w:rFonts w:ascii="Arial" w:hAnsi="Arial" w:cs="Arial"/>
          <w:sz w:val="24"/>
          <w:szCs w:val="24"/>
        </w:rPr>
        <w:t xml:space="preserve"> bem como das expectativas dos agentes</w:t>
      </w:r>
      <w:r w:rsidR="00131E81" w:rsidRPr="00345115">
        <w:rPr>
          <w:rFonts w:ascii="Arial" w:hAnsi="Arial" w:cs="Arial"/>
          <w:sz w:val="24"/>
          <w:szCs w:val="24"/>
        </w:rPr>
        <w:t xml:space="preserve"> são alguns temas</w:t>
      </w:r>
      <w:r w:rsidR="0034080D" w:rsidRPr="00345115">
        <w:rPr>
          <w:rFonts w:ascii="Arial" w:hAnsi="Arial" w:cs="Arial"/>
          <w:sz w:val="24"/>
          <w:szCs w:val="24"/>
        </w:rPr>
        <w:t xml:space="preserve">, que ainda assolam o país. </w:t>
      </w:r>
    </w:p>
    <w:p w14:paraId="416D8DF1" w14:textId="47DF4CC1" w:rsidR="00575A4F" w:rsidRPr="00345115" w:rsidRDefault="0034080D" w:rsidP="00882B94">
      <w:pPr>
        <w:spacing w:line="360" w:lineRule="auto"/>
        <w:ind w:firstLine="708"/>
        <w:jc w:val="both"/>
        <w:rPr>
          <w:rFonts w:ascii="Arial" w:hAnsi="Arial" w:cs="Arial"/>
          <w:sz w:val="24"/>
          <w:szCs w:val="24"/>
        </w:rPr>
      </w:pPr>
      <w:r w:rsidRPr="00345115">
        <w:rPr>
          <w:rFonts w:ascii="Arial" w:hAnsi="Arial" w:cs="Arial"/>
          <w:sz w:val="24"/>
          <w:szCs w:val="24"/>
        </w:rPr>
        <w:t>Do lado das finanças públicas, o cenário de deterioração fiscal, materializado nos sucessivos déficits primários, aumento acelerado</w:t>
      </w:r>
      <w:r w:rsidR="00575A4F" w:rsidRPr="00345115">
        <w:rPr>
          <w:rFonts w:ascii="Arial" w:hAnsi="Arial" w:cs="Arial"/>
          <w:sz w:val="24"/>
          <w:szCs w:val="24"/>
        </w:rPr>
        <w:t xml:space="preserve"> dos indicadores de endividamento</w:t>
      </w:r>
      <w:r w:rsidRPr="00345115">
        <w:rPr>
          <w:rFonts w:ascii="Arial" w:hAnsi="Arial" w:cs="Arial"/>
          <w:sz w:val="24"/>
          <w:szCs w:val="24"/>
        </w:rPr>
        <w:t xml:space="preserve">, rigidez orçamentária e elevados gastos correntes como parcela total dos gastos públicos dificultam uma ação mais assertiva da parte do Governo para lidar com a crise econômica. E dentre todos esses desafios surgem os questionamentos do que poderia ser diferente ou o que pode ser aperfeiçoado no panorama das finanças públicas para que o país volte a sua trajetória virtuosa de crescimento. </w:t>
      </w:r>
    </w:p>
    <w:p w14:paraId="2D6A06CD" w14:textId="77777777" w:rsidR="00345115" w:rsidRPr="00345115" w:rsidRDefault="0034080D" w:rsidP="00882B94">
      <w:pPr>
        <w:spacing w:line="360" w:lineRule="auto"/>
        <w:ind w:firstLine="708"/>
        <w:jc w:val="both"/>
        <w:rPr>
          <w:rFonts w:ascii="Arial" w:hAnsi="Arial" w:cs="Arial"/>
          <w:sz w:val="24"/>
          <w:szCs w:val="24"/>
        </w:rPr>
      </w:pPr>
      <w:r w:rsidRPr="00345115">
        <w:rPr>
          <w:rFonts w:ascii="Arial" w:hAnsi="Arial" w:cs="Arial"/>
          <w:sz w:val="24"/>
          <w:szCs w:val="24"/>
        </w:rPr>
        <w:t>Nesse sentido, as regras fiscais, que</w:t>
      </w:r>
      <w:r w:rsidR="00575A4F" w:rsidRPr="00345115">
        <w:rPr>
          <w:rFonts w:ascii="Arial" w:hAnsi="Arial" w:cs="Arial"/>
          <w:sz w:val="24"/>
          <w:szCs w:val="24"/>
        </w:rPr>
        <w:t xml:space="preserve"> ganharam </w:t>
      </w:r>
      <w:r w:rsidRPr="00345115">
        <w:rPr>
          <w:rFonts w:ascii="Arial" w:hAnsi="Arial" w:cs="Arial"/>
          <w:sz w:val="24"/>
          <w:szCs w:val="24"/>
        </w:rPr>
        <w:t>visibilidade no cenário internacional em 1992, com o Tratado de Maastricht</w:t>
      </w:r>
      <w:r w:rsidR="007F54EB" w:rsidRPr="00345115">
        <w:rPr>
          <w:rFonts w:ascii="Arial" w:hAnsi="Arial" w:cs="Arial"/>
          <w:sz w:val="24"/>
          <w:szCs w:val="24"/>
        </w:rPr>
        <w:t xml:space="preserve"> na União </w:t>
      </w:r>
      <w:r w:rsidR="000B5EF5" w:rsidRPr="00345115">
        <w:rPr>
          <w:rFonts w:ascii="Arial" w:hAnsi="Arial" w:cs="Arial"/>
          <w:sz w:val="24"/>
          <w:szCs w:val="24"/>
        </w:rPr>
        <w:t>Europeia</w:t>
      </w:r>
      <w:r w:rsidRPr="00345115">
        <w:rPr>
          <w:rFonts w:ascii="Arial" w:hAnsi="Arial" w:cs="Arial"/>
          <w:sz w:val="24"/>
          <w:szCs w:val="24"/>
        </w:rPr>
        <w:t xml:space="preserve">, </w:t>
      </w:r>
      <w:r w:rsidR="003C1346" w:rsidRPr="00345115">
        <w:rPr>
          <w:rFonts w:ascii="Arial" w:hAnsi="Arial" w:cs="Arial"/>
          <w:sz w:val="24"/>
          <w:szCs w:val="24"/>
        </w:rPr>
        <w:t>desponta</w:t>
      </w:r>
      <w:r w:rsidR="00C56CE0" w:rsidRPr="00345115">
        <w:rPr>
          <w:rFonts w:ascii="Arial" w:hAnsi="Arial" w:cs="Arial"/>
          <w:sz w:val="24"/>
          <w:szCs w:val="24"/>
        </w:rPr>
        <w:t>ra</w:t>
      </w:r>
      <w:r w:rsidR="003C1346" w:rsidRPr="00345115">
        <w:rPr>
          <w:rFonts w:ascii="Arial" w:hAnsi="Arial" w:cs="Arial"/>
          <w:sz w:val="24"/>
          <w:szCs w:val="24"/>
        </w:rPr>
        <w:t>m</w:t>
      </w:r>
      <w:r w:rsidRPr="00345115">
        <w:rPr>
          <w:rFonts w:ascii="Arial" w:hAnsi="Arial" w:cs="Arial"/>
          <w:sz w:val="24"/>
          <w:szCs w:val="24"/>
        </w:rPr>
        <w:t xml:space="preserve"> como uma possível </w:t>
      </w:r>
      <w:r w:rsidR="003C1346" w:rsidRPr="00345115">
        <w:rPr>
          <w:rFonts w:ascii="Arial" w:hAnsi="Arial" w:cs="Arial"/>
          <w:sz w:val="24"/>
          <w:szCs w:val="24"/>
        </w:rPr>
        <w:t>ferramenta</w:t>
      </w:r>
      <w:r w:rsidRPr="00345115">
        <w:rPr>
          <w:rFonts w:ascii="Arial" w:hAnsi="Arial" w:cs="Arial"/>
          <w:sz w:val="24"/>
          <w:szCs w:val="24"/>
        </w:rPr>
        <w:t xml:space="preserve"> </w:t>
      </w:r>
      <w:r w:rsidR="003C1346" w:rsidRPr="00345115">
        <w:rPr>
          <w:rFonts w:ascii="Arial" w:hAnsi="Arial" w:cs="Arial"/>
          <w:sz w:val="24"/>
          <w:szCs w:val="24"/>
        </w:rPr>
        <w:t xml:space="preserve">dentro do arcabouço fiscal brasileiro a ser </w:t>
      </w:r>
      <w:r w:rsidR="001C5121" w:rsidRPr="00345115">
        <w:rPr>
          <w:rFonts w:ascii="Arial" w:hAnsi="Arial" w:cs="Arial"/>
          <w:sz w:val="24"/>
          <w:szCs w:val="24"/>
        </w:rPr>
        <w:t>empregada para auxiliar na gestão das finanças públicas.</w:t>
      </w:r>
      <w:r w:rsidR="001C3A92" w:rsidRPr="00345115">
        <w:rPr>
          <w:rFonts w:ascii="Arial" w:hAnsi="Arial" w:cs="Arial"/>
          <w:sz w:val="24"/>
          <w:szCs w:val="24"/>
        </w:rPr>
        <w:t xml:space="preserve"> </w:t>
      </w:r>
    </w:p>
    <w:p w14:paraId="0E5D44F0" w14:textId="2B8BCDFC" w:rsidR="007F54EB" w:rsidRPr="00345115" w:rsidRDefault="00C56CE0" w:rsidP="00882B94">
      <w:pPr>
        <w:spacing w:line="360" w:lineRule="auto"/>
        <w:ind w:firstLine="708"/>
        <w:jc w:val="both"/>
        <w:rPr>
          <w:rFonts w:ascii="Arial" w:hAnsi="Arial" w:cs="Arial"/>
          <w:sz w:val="24"/>
          <w:szCs w:val="24"/>
        </w:rPr>
      </w:pPr>
      <w:r w:rsidRPr="00345115">
        <w:rPr>
          <w:rFonts w:ascii="Arial" w:hAnsi="Arial" w:cs="Arial"/>
          <w:sz w:val="24"/>
          <w:szCs w:val="24"/>
        </w:rPr>
        <w:t xml:space="preserve">Inicialmente, foram estabelecidos o regime de metas para o superávit primário e regras operacionais de limite de despesa com pessoal a limite de endividamento para os Estados, no contexto da consolidação fiscal ocorrida no início 2000. E, mais recentemente foi aprovada </w:t>
      </w:r>
      <w:r w:rsidR="001C3A92" w:rsidRPr="00345115">
        <w:rPr>
          <w:rFonts w:ascii="Arial" w:hAnsi="Arial" w:cs="Arial"/>
          <w:sz w:val="24"/>
          <w:szCs w:val="24"/>
        </w:rPr>
        <w:t>a E</w:t>
      </w:r>
      <w:r w:rsidR="00E93221" w:rsidRPr="00345115">
        <w:rPr>
          <w:rFonts w:ascii="Arial" w:hAnsi="Arial" w:cs="Arial"/>
          <w:sz w:val="24"/>
          <w:szCs w:val="24"/>
        </w:rPr>
        <w:t xml:space="preserve">menda </w:t>
      </w:r>
      <w:r w:rsidR="001C3A92" w:rsidRPr="00345115">
        <w:rPr>
          <w:rFonts w:ascii="Arial" w:hAnsi="Arial" w:cs="Arial"/>
          <w:sz w:val="24"/>
          <w:szCs w:val="24"/>
        </w:rPr>
        <w:t>C</w:t>
      </w:r>
      <w:r w:rsidR="00E93221" w:rsidRPr="00345115">
        <w:rPr>
          <w:rFonts w:ascii="Arial" w:hAnsi="Arial" w:cs="Arial"/>
          <w:sz w:val="24"/>
          <w:szCs w:val="24"/>
        </w:rPr>
        <w:t>onstitucional</w:t>
      </w:r>
      <w:r w:rsidR="001C3A92" w:rsidRPr="00345115">
        <w:rPr>
          <w:rFonts w:ascii="Arial" w:hAnsi="Arial" w:cs="Arial"/>
          <w:sz w:val="24"/>
          <w:szCs w:val="24"/>
        </w:rPr>
        <w:t xml:space="preserve"> nº 95/</w:t>
      </w:r>
      <w:r w:rsidR="007F54EB" w:rsidRPr="00345115">
        <w:rPr>
          <w:rFonts w:ascii="Arial" w:hAnsi="Arial" w:cs="Arial"/>
          <w:sz w:val="24"/>
          <w:szCs w:val="24"/>
        </w:rPr>
        <w:t>20</w:t>
      </w:r>
      <w:r w:rsidR="001C3A92" w:rsidRPr="00345115">
        <w:rPr>
          <w:rFonts w:ascii="Arial" w:hAnsi="Arial" w:cs="Arial"/>
          <w:sz w:val="24"/>
          <w:szCs w:val="24"/>
        </w:rPr>
        <w:t xml:space="preserve">16 (Teto dos Gastos) </w:t>
      </w:r>
      <w:r w:rsidRPr="00345115">
        <w:rPr>
          <w:rFonts w:ascii="Arial" w:hAnsi="Arial" w:cs="Arial"/>
          <w:sz w:val="24"/>
          <w:szCs w:val="24"/>
        </w:rPr>
        <w:t xml:space="preserve">que contribui </w:t>
      </w:r>
      <w:r w:rsidR="001C3A92" w:rsidRPr="00345115">
        <w:rPr>
          <w:rFonts w:ascii="Arial" w:hAnsi="Arial" w:cs="Arial"/>
          <w:sz w:val="24"/>
          <w:szCs w:val="24"/>
        </w:rPr>
        <w:t>para uma melhora na trajetória dos gastos públicos</w:t>
      </w:r>
      <w:r w:rsidR="007F54EB" w:rsidRPr="00345115">
        <w:rPr>
          <w:rFonts w:ascii="Arial" w:hAnsi="Arial" w:cs="Arial"/>
          <w:sz w:val="24"/>
          <w:szCs w:val="24"/>
        </w:rPr>
        <w:t xml:space="preserve"> e no planejamento fiscal de médio e longo prazos</w:t>
      </w:r>
      <w:r w:rsidR="001C3A92" w:rsidRPr="00345115">
        <w:rPr>
          <w:rFonts w:ascii="Arial" w:hAnsi="Arial" w:cs="Arial"/>
          <w:sz w:val="24"/>
          <w:szCs w:val="24"/>
        </w:rPr>
        <w:t xml:space="preserve">, mas não </w:t>
      </w:r>
      <w:r w:rsidRPr="00345115">
        <w:rPr>
          <w:rFonts w:ascii="Arial" w:hAnsi="Arial" w:cs="Arial"/>
          <w:sz w:val="24"/>
          <w:szCs w:val="24"/>
        </w:rPr>
        <w:t>suficientes é suficiente</w:t>
      </w:r>
      <w:r w:rsidR="001C3A92" w:rsidRPr="00345115">
        <w:rPr>
          <w:rFonts w:ascii="Arial" w:hAnsi="Arial" w:cs="Arial"/>
          <w:sz w:val="24"/>
          <w:szCs w:val="24"/>
        </w:rPr>
        <w:t xml:space="preserve">, </w:t>
      </w:r>
      <w:r w:rsidR="001C3A92" w:rsidRPr="00345115">
        <w:rPr>
          <w:rFonts w:ascii="Arial" w:hAnsi="Arial" w:cs="Arial"/>
          <w:i/>
          <w:iCs/>
          <w:sz w:val="24"/>
          <w:szCs w:val="24"/>
        </w:rPr>
        <w:t>per se</w:t>
      </w:r>
      <w:r w:rsidR="001C3A92" w:rsidRPr="00345115">
        <w:rPr>
          <w:rFonts w:ascii="Arial" w:hAnsi="Arial" w:cs="Arial"/>
          <w:sz w:val="24"/>
          <w:szCs w:val="24"/>
        </w:rPr>
        <w:t xml:space="preserve">, para levar a uma completa alteração na lógica atual das despesas. </w:t>
      </w:r>
    </w:p>
    <w:p w14:paraId="253E1AEE" w14:textId="28FC1798" w:rsidR="00C56CE0" w:rsidRPr="00345115" w:rsidRDefault="00C56CE0" w:rsidP="00882B94">
      <w:pPr>
        <w:spacing w:line="360" w:lineRule="auto"/>
        <w:ind w:firstLine="708"/>
        <w:jc w:val="both"/>
        <w:rPr>
          <w:rFonts w:ascii="Arial" w:hAnsi="Arial" w:cs="Arial"/>
          <w:sz w:val="24"/>
          <w:szCs w:val="24"/>
        </w:rPr>
      </w:pPr>
      <w:r w:rsidRPr="00345115">
        <w:rPr>
          <w:rFonts w:ascii="Arial" w:hAnsi="Arial" w:cs="Arial"/>
          <w:sz w:val="24"/>
          <w:szCs w:val="24"/>
        </w:rPr>
        <w:t xml:space="preserve">Primeiramente, cumpre ressaltar que o contexto em que aquelas primeiras regras fiscais foram inseridas era outro e houve espaço, por algum tempo, para a realização de </w:t>
      </w:r>
      <w:r w:rsidR="000B5EF5" w:rsidRPr="00345115">
        <w:rPr>
          <w:rFonts w:ascii="Arial" w:hAnsi="Arial" w:cs="Arial"/>
          <w:sz w:val="24"/>
          <w:szCs w:val="24"/>
        </w:rPr>
        <w:t>superávits</w:t>
      </w:r>
      <w:r w:rsidRPr="00345115">
        <w:rPr>
          <w:rFonts w:ascii="Arial" w:hAnsi="Arial" w:cs="Arial"/>
          <w:sz w:val="24"/>
          <w:szCs w:val="24"/>
        </w:rPr>
        <w:t xml:space="preserve"> primários sucessivos e </w:t>
      </w:r>
      <w:r w:rsidR="00A4173F" w:rsidRPr="00345115">
        <w:rPr>
          <w:rFonts w:ascii="Arial" w:hAnsi="Arial" w:cs="Arial"/>
          <w:sz w:val="24"/>
          <w:szCs w:val="24"/>
        </w:rPr>
        <w:t xml:space="preserve">o </w:t>
      </w:r>
      <w:r w:rsidRPr="00345115">
        <w:rPr>
          <w:rFonts w:ascii="Arial" w:hAnsi="Arial" w:cs="Arial"/>
          <w:sz w:val="24"/>
          <w:szCs w:val="24"/>
        </w:rPr>
        <w:t>cumprimento das metas das regras operacionais por parte dos Estados</w:t>
      </w:r>
      <w:r w:rsidR="00A4173F" w:rsidRPr="00345115">
        <w:rPr>
          <w:rFonts w:ascii="Arial" w:hAnsi="Arial" w:cs="Arial"/>
          <w:sz w:val="24"/>
          <w:szCs w:val="24"/>
        </w:rPr>
        <w:t>,</w:t>
      </w:r>
      <w:r w:rsidRPr="00345115">
        <w:rPr>
          <w:rFonts w:ascii="Arial" w:hAnsi="Arial" w:cs="Arial"/>
          <w:sz w:val="24"/>
          <w:szCs w:val="24"/>
        </w:rPr>
        <w:t xml:space="preserve"> o que contribui para </w:t>
      </w:r>
      <w:r w:rsidRPr="00345115">
        <w:rPr>
          <w:rFonts w:ascii="Arial" w:hAnsi="Arial" w:cs="Arial"/>
          <w:sz w:val="24"/>
          <w:szCs w:val="24"/>
        </w:rPr>
        <w:lastRenderedPageBreak/>
        <w:t>o bom funcionamento da política fiscal no país</w:t>
      </w:r>
      <w:r w:rsidR="00A4173F" w:rsidRPr="00345115">
        <w:rPr>
          <w:rFonts w:ascii="Arial" w:hAnsi="Arial" w:cs="Arial"/>
          <w:sz w:val="24"/>
          <w:szCs w:val="24"/>
        </w:rPr>
        <w:t xml:space="preserve"> no início da década de 2000. No entanto, após a crise financeira de 2008 e a crise política verificada no Brasil a partir de 2015, observa-se que alguns pressupostos em que aquelas regras foram construídas não se sustentam. É fundamental, uma alteração dos seus mecanismos de funcionamento, como o aumento da flexibilidade das regras, bem como um redesenho do seu arcabouço, estruturando de maneira conjunta as regras de dívida, de despesa e de balanço orçamentário, para que seja viável a sustentabilidade fiscal de longo prazo no país.</w:t>
      </w:r>
    </w:p>
    <w:p w14:paraId="0CAD8330" w14:textId="07B1BCBE" w:rsidR="00A4173F" w:rsidRPr="00345115" w:rsidRDefault="00A4173F" w:rsidP="00345115">
      <w:pPr>
        <w:spacing w:before="240" w:after="0" w:line="360" w:lineRule="auto"/>
        <w:ind w:firstLine="708"/>
        <w:jc w:val="both"/>
        <w:rPr>
          <w:rFonts w:ascii="Arial" w:hAnsi="Arial" w:cs="Arial"/>
          <w:sz w:val="24"/>
          <w:szCs w:val="24"/>
        </w:rPr>
      </w:pPr>
      <w:r w:rsidRPr="00345115">
        <w:rPr>
          <w:rFonts w:ascii="Arial" w:hAnsi="Arial" w:cs="Arial"/>
          <w:sz w:val="24"/>
          <w:szCs w:val="24"/>
        </w:rPr>
        <w:t>Assim, propõem-se que o</w:t>
      </w:r>
      <w:r w:rsidR="00E002A6" w:rsidRPr="00345115">
        <w:rPr>
          <w:rFonts w:ascii="Arial" w:hAnsi="Arial" w:cs="Arial"/>
          <w:sz w:val="24"/>
          <w:szCs w:val="24"/>
        </w:rPr>
        <w:t xml:space="preserve"> estabelecimento de um</w:t>
      </w:r>
      <w:r w:rsidRPr="00345115">
        <w:rPr>
          <w:rFonts w:ascii="Arial" w:hAnsi="Arial" w:cs="Arial"/>
          <w:sz w:val="24"/>
          <w:szCs w:val="24"/>
        </w:rPr>
        <w:t xml:space="preserve"> limite</w:t>
      </w:r>
      <w:r w:rsidR="00E002A6" w:rsidRPr="00345115">
        <w:rPr>
          <w:rFonts w:ascii="Arial" w:hAnsi="Arial" w:cs="Arial"/>
          <w:sz w:val="24"/>
          <w:szCs w:val="24"/>
        </w:rPr>
        <w:t xml:space="preserve"> </w:t>
      </w:r>
      <w:r w:rsidRPr="00345115">
        <w:rPr>
          <w:rFonts w:ascii="Arial" w:hAnsi="Arial" w:cs="Arial"/>
          <w:sz w:val="24"/>
          <w:szCs w:val="24"/>
        </w:rPr>
        <w:t>de endividamento</w:t>
      </w:r>
      <w:r w:rsidR="00E002A6" w:rsidRPr="00345115">
        <w:rPr>
          <w:rFonts w:ascii="Arial" w:hAnsi="Arial" w:cs="Arial"/>
          <w:sz w:val="24"/>
          <w:szCs w:val="24"/>
        </w:rPr>
        <w:t xml:space="preserve"> para a União, que ainda não está regulamentado nos normativos do país, seja a âncora de longo prazo da política fiscal e, a partir desse entendimento, as regras de resultado primário e de limite de gastos sejam utilizados para auxiliar no alcance da trajetória sustentável daquele indicador. Além de propiciar um cenário de maior planejamento fiscal de médio e de longo prazo no </w:t>
      </w:r>
      <w:r w:rsidR="00E002A6" w:rsidRPr="00345115">
        <w:rPr>
          <w:rFonts w:ascii="Arial" w:hAnsi="Arial" w:cs="Arial"/>
          <w:i/>
          <w:iCs/>
          <w:sz w:val="24"/>
          <w:szCs w:val="24"/>
        </w:rPr>
        <w:t>framework</w:t>
      </w:r>
      <w:r w:rsidR="00E002A6" w:rsidRPr="00345115">
        <w:rPr>
          <w:rFonts w:ascii="Arial" w:hAnsi="Arial" w:cs="Arial"/>
          <w:sz w:val="24"/>
          <w:szCs w:val="24"/>
        </w:rPr>
        <w:t xml:space="preserve"> nacional.</w:t>
      </w:r>
    </w:p>
    <w:p w14:paraId="48A288FC" w14:textId="77777777" w:rsidR="00345115" w:rsidRPr="00345115" w:rsidRDefault="00345115" w:rsidP="00345115">
      <w:pPr>
        <w:spacing w:after="0" w:line="360" w:lineRule="auto"/>
        <w:ind w:firstLine="708"/>
        <w:jc w:val="both"/>
        <w:rPr>
          <w:rFonts w:ascii="Arial" w:hAnsi="Arial" w:cs="Arial"/>
          <w:sz w:val="24"/>
          <w:szCs w:val="24"/>
        </w:rPr>
      </w:pPr>
    </w:p>
    <w:p w14:paraId="083A811D" w14:textId="77777777" w:rsidR="006B67C8" w:rsidRPr="00B04C9D" w:rsidRDefault="006B67C8" w:rsidP="00345115">
      <w:pPr>
        <w:pStyle w:val="Ttulo2"/>
        <w:numPr>
          <w:ilvl w:val="1"/>
          <w:numId w:val="1"/>
        </w:numPr>
        <w:spacing w:after="240" w:line="360" w:lineRule="auto"/>
        <w:rPr>
          <w:rFonts w:ascii="Arial" w:hAnsi="Arial" w:cs="Arial"/>
          <w:b/>
          <w:bCs/>
          <w:color w:val="auto"/>
          <w:sz w:val="24"/>
          <w:szCs w:val="24"/>
        </w:rPr>
      </w:pPr>
      <w:r w:rsidRPr="00B04C9D">
        <w:rPr>
          <w:rFonts w:ascii="Arial" w:hAnsi="Arial" w:cs="Arial"/>
          <w:b/>
          <w:bCs/>
          <w:color w:val="auto"/>
          <w:sz w:val="24"/>
          <w:szCs w:val="24"/>
        </w:rPr>
        <w:t>Problema de Pesquisa</w:t>
      </w:r>
    </w:p>
    <w:p w14:paraId="64067E2F" w14:textId="65477096" w:rsidR="006B67C8" w:rsidRPr="00345115" w:rsidRDefault="007F54EB" w:rsidP="00345115">
      <w:pPr>
        <w:spacing w:line="360" w:lineRule="auto"/>
        <w:ind w:firstLine="708"/>
        <w:jc w:val="both"/>
        <w:rPr>
          <w:rFonts w:ascii="Arial" w:hAnsi="Arial" w:cs="Arial"/>
        </w:rPr>
      </w:pPr>
      <w:r w:rsidRPr="00345115">
        <w:rPr>
          <w:rFonts w:ascii="Arial" w:hAnsi="Arial" w:cs="Arial"/>
          <w:sz w:val="24"/>
          <w:szCs w:val="24"/>
        </w:rPr>
        <w:t>Todavia, alguns questionamentos sobre regras fiscais necessitam de respostas precisas sob o aspecto empírico:  a</w:t>
      </w:r>
      <w:r w:rsidR="008235BD" w:rsidRPr="00345115">
        <w:rPr>
          <w:rFonts w:ascii="Arial" w:hAnsi="Arial" w:cs="Arial"/>
          <w:sz w:val="24"/>
          <w:szCs w:val="24"/>
        </w:rPr>
        <w:t xml:space="preserve"> adoção de regras fiscais</w:t>
      </w:r>
      <w:r w:rsidR="00337705" w:rsidRPr="00345115">
        <w:rPr>
          <w:rFonts w:ascii="Arial" w:hAnsi="Arial" w:cs="Arial"/>
          <w:sz w:val="24"/>
          <w:szCs w:val="24"/>
        </w:rPr>
        <w:t>, por parte de um país,</w:t>
      </w:r>
      <w:r w:rsidR="008235BD" w:rsidRPr="00345115">
        <w:rPr>
          <w:rFonts w:ascii="Arial" w:hAnsi="Arial" w:cs="Arial"/>
          <w:sz w:val="24"/>
          <w:szCs w:val="24"/>
        </w:rPr>
        <w:t xml:space="preserve"> </w:t>
      </w:r>
      <w:r w:rsidR="00E71379" w:rsidRPr="00345115">
        <w:rPr>
          <w:rFonts w:ascii="Arial" w:hAnsi="Arial" w:cs="Arial"/>
          <w:sz w:val="24"/>
          <w:szCs w:val="24"/>
        </w:rPr>
        <w:t>conduz</w:t>
      </w:r>
      <w:r w:rsidR="00E93221" w:rsidRPr="00345115">
        <w:rPr>
          <w:rFonts w:ascii="Arial" w:hAnsi="Arial" w:cs="Arial"/>
          <w:sz w:val="24"/>
          <w:szCs w:val="24"/>
        </w:rPr>
        <w:t xml:space="preserve"> </w:t>
      </w:r>
      <w:r w:rsidR="00E71379" w:rsidRPr="00345115">
        <w:rPr>
          <w:rFonts w:ascii="Arial" w:hAnsi="Arial" w:cs="Arial"/>
          <w:sz w:val="24"/>
          <w:szCs w:val="24"/>
        </w:rPr>
        <w:t xml:space="preserve">a uma mudança no comportamento do agregado fiscal a qual pretende influenciar? Será que adoção de um limite de dívida, por </w:t>
      </w:r>
      <w:r w:rsidR="00337705" w:rsidRPr="00345115">
        <w:rPr>
          <w:rFonts w:ascii="Arial" w:hAnsi="Arial" w:cs="Arial"/>
          <w:sz w:val="24"/>
          <w:szCs w:val="24"/>
        </w:rPr>
        <w:t>exemplo</w:t>
      </w:r>
      <w:r w:rsidR="00E71379" w:rsidRPr="00345115">
        <w:rPr>
          <w:rFonts w:ascii="Arial" w:hAnsi="Arial" w:cs="Arial"/>
          <w:sz w:val="24"/>
          <w:szCs w:val="24"/>
        </w:rPr>
        <w:t>, leva a uma trajetória de redução do endividamento por parte</w:t>
      </w:r>
      <w:r w:rsidRPr="00345115">
        <w:rPr>
          <w:rFonts w:ascii="Arial" w:hAnsi="Arial" w:cs="Arial"/>
          <w:sz w:val="24"/>
          <w:szCs w:val="24"/>
        </w:rPr>
        <w:t xml:space="preserve"> de determinado país</w:t>
      </w:r>
      <w:r w:rsidR="00E71379" w:rsidRPr="00345115">
        <w:rPr>
          <w:rFonts w:ascii="Arial" w:hAnsi="Arial" w:cs="Arial"/>
          <w:sz w:val="24"/>
          <w:szCs w:val="24"/>
        </w:rPr>
        <w:t xml:space="preserve"> </w:t>
      </w:r>
      <w:r w:rsidRPr="00345115">
        <w:rPr>
          <w:rFonts w:ascii="Arial" w:hAnsi="Arial" w:cs="Arial"/>
          <w:sz w:val="24"/>
          <w:szCs w:val="24"/>
        </w:rPr>
        <w:t>ou</w:t>
      </w:r>
      <w:r w:rsidR="00E71379" w:rsidRPr="00345115">
        <w:rPr>
          <w:rFonts w:ascii="Arial" w:hAnsi="Arial" w:cs="Arial"/>
          <w:sz w:val="24"/>
          <w:szCs w:val="24"/>
        </w:rPr>
        <w:t xml:space="preserve"> na trajetória de </w:t>
      </w:r>
      <w:r w:rsidR="00337705" w:rsidRPr="00345115">
        <w:rPr>
          <w:rFonts w:ascii="Arial" w:hAnsi="Arial" w:cs="Arial"/>
          <w:sz w:val="24"/>
          <w:szCs w:val="24"/>
        </w:rPr>
        <w:t>algum outro agregado fiscal, como os</w:t>
      </w:r>
      <w:r w:rsidR="00E71379" w:rsidRPr="00345115">
        <w:rPr>
          <w:rFonts w:ascii="Arial" w:hAnsi="Arial" w:cs="Arial"/>
          <w:sz w:val="24"/>
          <w:szCs w:val="24"/>
        </w:rPr>
        <w:t xml:space="preserve"> gastos públicos?</w:t>
      </w:r>
    </w:p>
    <w:p w14:paraId="6823C523" w14:textId="77777777" w:rsidR="006B67C8" w:rsidRPr="00B04C9D" w:rsidRDefault="006B67C8" w:rsidP="006B67C8">
      <w:pPr>
        <w:pStyle w:val="Ttulo2"/>
        <w:numPr>
          <w:ilvl w:val="1"/>
          <w:numId w:val="1"/>
        </w:numPr>
        <w:rPr>
          <w:rFonts w:ascii="Arial" w:hAnsi="Arial" w:cs="Arial"/>
          <w:b/>
          <w:bCs/>
          <w:color w:val="auto"/>
          <w:sz w:val="24"/>
          <w:szCs w:val="24"/>
        </w:rPr>
      </w:pPr>
      <w:r w:rsidRPr="00B04C9D">
        <w:rPr>
          <w:rFonts w:ascii="Arial" w:hAnsi="Arial" w:cs="Arial"/>
          <w:b/>
          <w:bCs/>
          <w:color w:val="auto"/>
          <w:sz w:val="24"/>
          <w:szCs w:val="24"/>
        </w:rPr>
        <w:t>Hipóteses</w:t>
      </w:r>
    </w:p>
    <w:p w14:paraId="3F4EB76A" w14:textId="77777777" w:rsidR="00E93221" w:rsidRPr="00345115" w:rsidRDefault="00E93221" w:rsidP="00E93221">
      <w:pPr>
        <w:rPr>
          <w:rFonts w:ascii="Arial" w:hAnsi="Arial" w:cs="Arial"/>
        </w:rPr>
      </w:pPr>
    </w:p>
    <w:p w14:paraId="1EFBDE84" w14:textId="6545FC41" w:rsidR="00CE1920" w:rsidRDefault="007F54EB" w:rsidP="00882B94">
      <w:pPr>
        <w:spacing w:line="360" w:lineRule="auto"/>
        <w:ind w:firstLine="708"/>
        <w:jc w:val="both"/>
        <w:rPr>
          <w:rFonts w:ascii="Arial" w:hAnsi="Arial" w:cs="Arial"/>
          <w:sz w:val="24"/>
          <w:szCs w:val="24"/>
        </w:rPr>
      </w:pPr>
      <w:r w:rsidRPr="00345115">
        <w:rPr>
          <w:rFonts w:ascii="Arial" w:hAnsi="Arial" w:cs="Arial"/>
          <w:sz w:val="24"/>
          <w:szCs w:val="24"/>
        </w:rPr>
        <w:t xml:space="preserve"> A </w:t>
      </w:r>
      <w:r w:rsidR="00D8487F" w:rsidRPr="00345115">
        <w:rPr>
          <w:rFonts w:ascii="Arial" w:hAnsi="Arial" w:cs="Arial"/>
          <w:sz w:val="24"/>
          <w:szCs w:val="24"/>
        </w:rPr>
        <w:t xml:space="preserve">hipótese </w:t>
      </w:r>
      <w:r w:rsidRPr="00345115">
        <w:rPr>
          <w:rFonts w:ascii="Arial" w:hAnsi="Arial" w:cs="Arial"/>
          <w:sz w:val="24"/>
          <w:szCs w:val="24"/>
        </w:rPr>
        <w:t xml:space="preserve">norteadora desta pesquisa reside no fato </w:t>
      </w:r>
      <w:r w:rsidR="00D8487F" w:rsidRPr="00345115">
        <w:rPr>
          <w:rFonts w:ascii="Arial" w:hAnsi="Arial" w:cs="Arial"/>
          <w:sz w:val="24"/>
          <w:szCs w:val="24"/>
        </w:rPr>
        <w:t xml:space="preserve">de que a </w:t>
      </w:r>
      <w:r w:rsidR="00E01C9E" w:rsidRPr="00345115">
        <w:rPr>
          <w:rFonts w:ascii="Arial" w:hAnsi="Arial" w:cs="Arial"/>
          <w:sz w:val="24"/>
          <w:szCs w:val="24"/>
        </w:rPr>
        <w:t>adoção de uma regra</w:t>
      </w:r>
      <w:r w:rsidR="001D3B09" w:rsidRPr="00345115">
        <w:rPr>
          <w:rFonts w:ascii="Arial" w:hAnsi="Arial" w:cs="Arial"/>
          <w:sz w:val="24"/>
          <w:szCs w:val="24"/>
        </w:rPr>
        <w:t xml:space="preserve"> fiscal</w:t>
      </w:r>
      <w:r w:rsidR="00E01C9E" w:rsidRPr="00345115">
        <w:rPr>
          <w:rFonts w:ascii="Arial" w:hAnsi="Arial" w:cs="Arial"/>
          <w:sz w:val="24"/>
          <w:szCs w:val="24"/>
        </w:rPr>
        <w:t>, por exemplo</w:t>
      </w:r>
      <w:r w:rsidRPr="00345115">
        <w:rPr>
          <w:rFonts w:ascii="Arial" w:hAnsi="Arial" w:cs="Arial"/>
          <w:sz w:val="24"/>
          <w:szCs w:val="24"/>
        </w:rPr>
        <w:t>,</w:t>
      </w:r>
      <w:r w:rsidR="00E01C9E" w:rsidRPr="00345115">
        <w:rPr>
          <w:rFonts w:ascii="Arial" w:hAnsi="Arial" w:cs="Arial"/>
          <w:sz w:val="24"/>
          <w:szCs w:val="24"/>
        </w:rPr>
        <w:t xml:space="preserve"> limite de dívida, </w:t>
      </w:r>
      <w:r w:rsidR="00FD34BD" w:rsidRPr="00345115">
        <w:rPr>
          <w:rFonts w:ascii="Arial" w:hAnsi="Arial" w:cs="Arial"/>
          <w:sz w:val="24"/>
          <w:szCs w:val="24"/>
        </w:rPr>
        <w:t xml:space="preserve">conduz a </w:t>
      </w:r>
      <w:r w:rsidR="00E01C9E" w:rsidRPr="00345115">
        <w:rPr>
          <w:rFonts w:ascii="Arial" w:hAnsi="Arial" w:cs="Arial"/>
          <w:sz w:val="24"/>
          <w:szCs w:val="24"/>
        </w:rPr>
        <w:t xml:space="preserve">uma melhora na trajetória do </w:t>
      </w:r>
      <w:r w:rsidR="001D3B09" w:rsidRPr="00345115">
        <w:rPr>
          <w:rFonts w:ascii="Arial" w:hAnsi="Arial" w:cs="Arial"/>
          <w:sz w:val="24"/>
          <w:szCs w:val="24"/>
        </w:rPr>
        <w:t xml:space="preserve">indicador o qual se deseja influenciar, como nesse caso, o </w:t>
      </w:r>
      <w:r w:rsidR="00D8487F" w:rsidRPr="00345115">
        <w:rPr>
          <w:rFonts w:ascii="Arial" w:hAnsi="Arial" w:cs="Arial"/>
          <w:sz w:val="24"/>
          <w:szCs w:val="24"/>
        </w:rPr>
        <w:t>e</w:t>
      </w:r>
      <w:r w:rsidR="00E01C9E" w:rsidRPr="00345115">
        <w:rPr>
          <w:rFonts w:ascii="Arial" w:hAnsi="Arial" w:cs="Arial"/>
          <w:sz w:val="24"/>
          <w:szCs w:val="24"/>
        </w:rPr>
        <w:t>ndividamento d</w:t>
      </w:r>
      <w:r w:rsidR="00D8487F" w:rsidRPr="00345115">
        <w:rPr>
          <w:rFonts w:ascii="Arial" w:hAnsi="Arial" w:cs="Arial"/>
          <w:sz w:val="24"/>
          <w:szCs w:val="24"/>
        </w:rPr>
        <w:t>e um</w:t>
      </w:r>
      <w:r w:rsidR="00E01C9E" w:rsidRPr="00345115">
        <w:rPr>
          <w:rFonts w:ascii="Arial" w:hAnsi="Arial" w:cs="Arial"/>
          <w:sz w:val="24"/>
          <w:szCs w:val="24"/>
        </w:rPr>
        <w:t xml:space="preserve"> país. </w:t>
      </w:r>
    </w:p>
    <w:p w14:paraId="48EB410C" w14:textId="042B57BC" w:rsidR="00F475A3" w:rsidRDefault="00F475A3" w:rsidP="00882B94">
      <w:pPr>
        <w:spacing w:line="360" w:lineRule="auto"/>
        <w:ind w:firstLine="708"/>
        <w:jc w:val="both"/>
        <w:rPr>
          <w:rFonts w:ascii="Arial" w:hAnsi="Arial" w:cs="Arial"/>
          <w:sz w:val="24"/>
          <w:szCs w:val="24"/>
        </w:rPr>
      </w:pPr>
    </w:p>
    <w:p w14:paraId="0DD169C4" w14:textId="77777777" w:rsidR="00F475A3" w:rsidRPr="00345115" w:rsidRDefault="00F475A3" w:rsidP="00882B94">
      <w:pPr>
        <w:spacing w:line="360" w:lineRule="auto"/>
        <w:ind w:firstLine="708"/>
        <w:jc w:val="both"/>
        <w:rPr>
          <w:rFonts w:ascii="Arial" w:hAnsi="Arial" w:cs="Arial"/>
          <w:sz w:val="24"/>
          <w:szCs w:val="24"/>
        </w:rPr>
      </w:pPr>
    </w:p>
    <w:p w14:paraId="515D70E2" w14:textId="5F2183F9" w:rsidR="006B67C8" w:rsidRPr="00345115" w:rsidRDefault="006B67C8" w:rsidP="006B67C8">
      <w:pPr>
        <w:pStyle w:val="Ttulo2"/>
        <w:ind w:left="792"/>
        <w:rPr>
          <w:rFonts w:ascii="Arial" w:hAnsi="Arial" w:cs="Arial"/>
          <w:color w:val="auto"/>
          <w:sz w:val="24"/>
          <w:szCs w:val="24"/>
        </w:rPr>
      </w:pPr>
    </w:p>
    <w:p w14:paraId="08C080E5" w14:textId="77777777" w:rsidR="006B67C8" w:rsidRPr="00B04C9D" w:rsidRDefault="006B67C8" w:rsidP="006B67C8">
      <w:pPr>
        <w:pStyle w:val="Ttulo2"/>
        <w:numPr>
          <w:ilvl w:val="1"/>
          <w:numId w:val="1"/>
        </w:numPr>
        <w:rPr>
          <w:rFonts w:ascii="Arial" w:hAnsi="Arial" w:cs="Arial"/>
          <w:b/>
          <w:bCs/>
          <w:color w:val="auto"/>
          <w:sz w:val="24"/>
          <w:szCs w:val="24"/>
        </w:rPr>
      </w:pPr>
      <w:r w:rsidRPr="00B04C9D">
        <w:rPr>
          <w:rFonts w:ascii="Arial" w:hAnsi="Arial" w:cs="Arial"/>
          <w:b/>
          <w:bCs/>
          <w:color w:val="auto"/>
          <w:sz w:val="24"/>
          <w:szCs w:val="24"/>
        </w:rPr>
        <w:t>Objetivos Gerais e Específicos</w:t>
      </w:r>
    </w:p>
    <w:p w14:paraId="5C1D8F28" w14:textId="3703E456" w:rsidR="006B67C8" w:rsidRPr="00345115" w:rsidRDefault="006B67C8" w:rsidP="006B67C8">
      <w:pPr>
        <w:rPr>
          <w:rFonts w:ascii="Arial" w:hAnsi="Arial" w:cs="Arial"/>
        </w:rPr>
      </w:pPr>
    </w:p>
    <w:p w14:paraId="534D81B8" w14:textId="74BE7226" w:rsidR="00A7303A" w:rsidRPr="00345115" w:rsidRDefault="00A7303A" w:rsidP="000B5EF5">
      <w:pPr>
        <w:spacing w:line="360" w:lineRule="auto"/>
        <w:ind w:firstLine="708"/>
        <w:jc w:val="both"/>
        <w:rPr>
          <w:rFonts w:ascii="Arial" w:hAnsi="Arial" w:cs="Arial"/>
          <w:sz w:val="24"/>
          <w:szCs w:val="24"/>
        </w:rPr>
      </w:pPr>
      <w:r w:rsidRPr="00345115">
        <w:rPr>
          <w:rFonts w:ascii="Arial" w:hAnsi="Arial" w:cs="Arial"/>
          <w:sz w:val="24"/>
          <w:szCs w:val="24"/>
        </w:rPr>
        <w:t xml:space="preserve">O objetivo geral deste estudo se fundamenta em avaliar como as trajetórias de endividamento de determinados países se comportam quando  esses países estão sob uma regra fiscal de limite de dívida, assim como investigar se há uma melhora na evolução do indicador de endividamento como percentual do PIB ao longo do tempo e relacionar os dois fatos: a mudança de trajetória à adoção da regra. Para isso será analisado o histórico do indicador em tela, bem como outros fatos econômicos que ajudam a entender como as trajetórias podem ter se alterado ao longo do tempo. Procura-se, portanto, mensurar se de fato as regras fiscais de dívida cumprem seu papel de auxiliar na consolidação fiscal de determinado país. </w:t>
      </w:r>
    </w:p>
    <w:p w14:paraId="756E307F" w14:textId="0EE57A0F" w:rsidR="00A7303A" w:rsidRPr="00345115" w:rsidRDefault="00A7303A" w:rsidP="00A7303A">
      <w:pPr>
        <w:spacing w:line="360" w:lineRule="auto"/>
        <w:jc w:val="both"/>
        <w:rPr>
          <w:rFonts w:ascii="Arial" w:hAnsi="Arial" w:cs="Arial"/>
          <w:sz w:val="24"/>
          <w:szCs w:val="24"/>
        </w:rPr>
      </w:pPr>
      <w:r w:rsidRPr="00345115">
        <w:rPr>
          <w:rFonts w:ascii="Arial" w:hAnsi="Arial" w:cs="Arial"/>
          <w:sz w:val="24"/>
          <w:szCs w:val="24"/>
        </w:rPr>
        <w:t>Os objetivos específicos são os seguintes propostos:</w:t>
      </w:r>
    </w:p>
    <w:p w14:paraId="439E29E9" w14:textId="492E15DD" w:rsidR="00A7303A" w:rsidRPr="00345115" w:rsidRDefault="00A7303A" w:rsidP="00A7303A">
      <w:pPr>
        <w:pStyle w:val="PargrafodaLista"/>
        <w:numPr>
          <w:ilvl w:val="0"/>
          <w:numId w:val="4"/>
        </w:numPr>
        <w:spacing w:line="360" w:lineRule="auto"/>
        <w:jc w:val="both"/>
        <w:rPr>
          <w:rFonts w:ascii="Arial" w:hAnsi="Arial" w:cs="Arial"/>
          <w:sz w:val="24"/>
          <w:szCs w:val="24"/>
        </w:rPr>
      </w:pPr>
      <w:r w:rsidRPr="00345115">
        <w:rPr>
          <w:rFonts w:ascii="Arial" w:hAnsi="Arial" w:cs="Arial"/>
          <w:sz w:val="24"/>
          <w:szCs w:val="24"/>
        </w:rPr>
        <w:t>avaliar a trajetória de endividamento dos países</w:t>
      </w:r>
      <w:r w:rsidR="00926A4F" w:rsidRPr="00345115">
        <w:rPr>
          <w:rFonts w:ascii="Arial" w:hAnsi="Arial" w:cs="Arial"/>
          <w:sz w:val="24"/>
          <w:szCs w:val="24"/>
        </w:rPr>
        <w:t xml:space="preserve"> por meio da análise de estacionariedade do </w:t>
      </w:r>
      <w:r w:rsidRPr="00345115">
        <w:rPr>
          <w:rFonts w:ascii="Arial" w:hAnsi="Arial" w:cs="Arial"/>
          <w:sz w:val="24"/>
          <w:szCs w:val="24"/>
        </w:rPr>
        <w:t>indicador dívida bruta do governo geral em proporção do PIB</w:t>
      </w:r>
      <w:r w:rsidR="00926A4F" w:rsidRPr="00345115">
        <w:rPr>
          <w:rFonts w:ascii="Arial" w:hAnsi="Arial" w:cs="Arial"/>
          <w:sz w:val="24"/>
          <w:szCs w:val="24"/>
        </w:rPr>
        <w:t>, considerando-se inclusive presença de quebras estruturais</w:t>
      </w:r>
      <w:r w:rsidRPr="00345115">
        <w:rPr>
          <w:rFonts w:ascii="Arial" w:hAnsi="Arial" w:cs="Arial"/>
          <w:sz w:val="24"/>
          <w:szCs w:val="24"/>
        </w:rPr>
        <w:t xml:space="preserve">; </w:t>
      </w:r>
    </w:p>
    <w:p w14:paraId="04A3101F" w14:textId="08099515" w:rsidR="00A7303A" w:rsidRPr="00345115" w:rsidRDefault="00A7303A" w:rsidP="00A7303A">
      <w:pPr>
        <w:pStyle w:val="PargrafodaLista"/>
        <w:numPr>
          <w:ilvl w:val="0"/>
          <w:numId w:val="4"/>
        </w:numPr>
        <w:spacing w:line="360" w:lineRule="auto"/>
        <w:jc w:val="both"/>
        <w:rPr>
          <w:rFonts w:ascii="Arial" w:hAnsi="Arial" w:cs="Arial"/>
          <w:sz w:val="24"/>
          <w:szCs w:val="24"/>
        </w:rPr>
      </w:pPr>
      <w:r w:rsidRPr="00345115">
        <w:rPr>
          <w:rFonts w:ascii="Arial" w:hAnsi="Arial" w:cs="Arial"/>
          <w:sz w:val="24"/>
          <w:szCs w:val="24"/>
        </w:rPr>
        <w:t>contextualizar a adoção das regras fiscais nos</w:t>
      </w:r>
      <w:r w:rsidR="00926A4F" w:rsidRPr="00345115">
        <w:rPr>
          <w:rFonts w:ascii="Arial" w:hAnsi="Arial" w:cs="Arial"/>
          <w:sz w:val="24"/>
          <w:szCs w:val="24"/>
        </w:rPr>
        <w:t xml:space="preserve"> países em análise</w:t>
      </w:r>
      <w:r w:rsidRPr="00345115">
        <w:rPr>
          <w:rFonts w:ascii="Arial" w:hAnsi="Arial" w:cs="Arial"/>
          <w:sz w:val="24"/>
          <w:szCs w:val="24"/>
        </w:rPr>
        <w:t xml:space="preserve">; </w:t>
      </w:r>
    </w:p>
    <w:p w14:paraId="0A460A87" w14:textId="145840AD" w:rsidR="00345115" w:rsidRPr="00345115" w:rsidRDefault="00A7303A" w:rsidP="00345115">
      <w:pPr>
        <w:pStyle w:val="PargrafodaLista"/>
        <w:numPr>
          <w:ilvl w:val="0"/>
          <w:numId w:val="4"/>
        </w:numPr>
        <w:spacing w:before="240" w:line="360" w:lineRule="auto"/>
        <w:jc w:val="both"/>
        <w:rPr>
          <w:rFonts w:ascii="Arial" w:hAnsi="Arial" w:cs="Arial"/>
          <w:sz w:val="24"/>
          <w:szCs w:val="24"/>
        </w:rPr>
      </w:pPr>
      <w:r w:rsidRPr="00345115">
        <w:rPr>
          <w:rFonts w:ascii="Arial" w:hAnsi="Arial" w:cs="Arial"/>
          <w:sz w:val="24"/>
          <w:szCs w:val="24"/>
        </w:rPr>
        <w:t>contribuir para o entendimento mais amplo dos desdobramentos de adoção das regras fiscais pelos países</w:t>
      </w:r>
      <w:r w:rsidR="00926A4F" w:rsidRPr="00345115">
        <w:rPr>
          <w:rFonts w:ascii="Arial" w:hAnsi="Arial" w:cs="Arial"/>
          <w:sz w:val="24"/>
          <w:szCs w:val="24"/>
        </w:rPr>
        <w:t xml:space="preserve"> da amostra</w:t>
      </w:r>
    </w:p>
    <w:p w14:paraId="18B5DA68" w14:textId="77777777" w:rsidR="00345115" w:rsidRPr="00345115" w:rsidRDefault="00345115" w:rsidP="00345115">
      <w:pPr>
        <w:pStyle w:val="PargrafodaLista"/>
        <w:spacing w:after="0" w:line="360" w:lineRule="auto"/>
        <w:ind w:left="784"/>
        <w:jc w:val="both"/>
        <w:rPr>
          <w:rFonts w:ascii="Arial" w:hAnsi="Arial" w:cs="Arial"/>
          <w:sz w:val="24"/>
          <w:szCs w:val="24"/>
        </w:rPr>
      </w:pPr>
    </w:p>
    <w:p w14:paraId="7509D3AF" w14:textId="5245D99C" w:rsidR="006B67C8" w:rsidRPr="00B04C9D" w:rsidRDefault="006B67C8" w:rsidP="00345115">
      <w:pPr>
        <w:pStyle w:val="Ttulo2"/>
        <w:numPr>
          <w:ilvl w:val="1"/>
          <w:numId w:val="1"/>
        </w:numPr>
        <w:spacing w:before="240"/>
        <w:rPr>
          <w:rFonts w:ascii="Arial" w:hAnsi="Arial" w:cs="Arial"/>
          <w:b/>
          <w:bCs/>
          <w:color w:val="auto"/>
          <w:sz w:val="24"/>
          <w:szCs w:val="24"/>
        </w:rPr>
      </w:pPr>
      <w:r w:rsidRPr="00B04C9D">
        <w:rPr>
          <w:rFonts w:ascii="Arial" w:hAnsi="Arial" w:cs="Arial"/>
          <w:b/>
          <w:bCs/>
          <w:color w:val="auto"/>
          <w:sz w:val="24"/>
          <w:szCs w:val="24"/>
        </w:rPr>
        <w:t>Justificativa do Tema – Relevância e Contribuição</w:t>
      </w:r>
    </w:p>
    <w:p w14:paraId="5CBA2829" w14:textId="6CA39BB6" w:rsidR="00CD363D" w:rsidRPr="00345115" w:rsidRDefault="00CD363D" w:rsidP="00CD363D">
      <w:pPr>
        <w:rPr>
          <w:rFonts w:ascii="Arial" w:hAnsi="Arial" w:cs="Arial"/>
        </w:rPr>
      </w:pPr>
    </w:p>
    <w:p w14:paraId="1A0CE391" w14:textId="5ADBA3C4" w:rsidR="00CD363D" w:rsidRPr="00345115" w:rsidRDefault="00CD363D" w:rsidP="001822F9">
      <w:pPr>
        <w:spacing w:line="360" w:lineRule="auto"/>
        <w:ind w:firstLine="708"/>
        <w:jc w:val="both"/>
        <w:rPr>
          <w:rFonts w:ascii="Arial" w:hAnsi="Arial" w:cs="Arial"/>
          <w:sz w:val="24"/>
          <w:szCs w:val="24"/>
        </w:rPr>
      </w:pPr>
      <w:r w:rsidRPr="00345115">
        <w:rPr>
          <w:rFonts w:ascii="Arial" w:hAnsi="Arial" w:cs="Arial"/>
          <w:sz w:val="24"/>
          <w:szCs w:val="24"/>
        </w:rPr>
        <w:t xml:space="preserve">O Brasil adota algumas regras procedimentais, previstas na LRF, como o limite de dívida pelos Estados da Federação e limites de despesa com pessoal como percentual de sua </w:t>
      </w:r>
      <w:r w:rsidR="00926A4F" w:rsidRPr="00345115">
        <w:rPr>
          <w:rFonts w:ascii="Arial" w:hAnsi="Arial" w:cs="Arial"/>
          <w:sz w:val="24"/>
          <w:szCs w:val="24"/>
        </w:rPr>
        <w:t>r</w:t>
      </w:r>
      <w:r w:rsidRPr="00345115">
        <w:rPr>
          <w:rFonts w:ascii="Arial" w:hAnsi="Arial" w:cs="Arial"/>
          <w:sz w:val="24"/>
          <w:szCs w:val="24"/>
        </w:rPr>
        <w:t xml:space="preserve">eceita corrente líquida. Além disso, para a União, o país adota a regra de superávit primário desde 2001, </w:t>
      </w:r>
      <w:r w:rsidR="00926A4F" w:rsidRPr="00345115">
        <w:rPr>
          <w:rFonts w:ascii="Arial" w:hAnsi="Arial" w:cs="Arial"/>
          <w:sz w:val="24"/>
          <w:szCs w:val="24"/>
        </w:rPr>
        <w:t xml:space="preserve">em </w:t>
      </w:r>
      <w:r w:rsidRPr="00345115">
        <w:rPr>
          <w:rFonts w:ascii="Arial" w:hAnsi="Arial" w:cs="Arial"/>
          <w:sz w:val="24"/>
          <w:szCs w:val="24"/>
        </w:rPr>
        <w:t xml:space="preserve">um contexto de consolidação fiscal e, mais atualmente, adota a regra de limite de despesas (Teto dos Gastos), aprovada no final de 2016, que permite a correção das despesas por um índice de preços, somente. </w:t>
      </w:r>
    </w:p>
    <w:p w14:paraId="5B9987C2" w14:textId="5C04C6C4" w:rsidR="00CD363D" w:rsidRPr="00345115" w:rsidRDefault="00926A4F" w:rsidP="001822F9">
      <w:pPr>
        <w:spacing w:line="360" w:lineRule="auto"/>
        <w:ind w:firstLine="708"/>
        <w:jc w:val="both"/>
        <w:rPr>
          <w:rFonts w:ascii="Arial" w:hAnsi="Arial" w:cs="Arial"/>
          <w:sz w:val="24"/>
          <w:szCs w:val="24"/>
        </w:rPr>
      </w:pPr>
      <w:r w:rsidRPr="00345115">
        <w:rPr>
          <w:rFonts w:ascii="Arial" w:hAnsi="Arial" w:cs="Arial"/>
          <w:sz w:val="24"/>
          <w:szCs w:val="24"/>
        </w:rPr>
        <w:lastRenderedPageBreak/>
        <w:t xml:space="preserve">O estudo das regras fiscais no Brasil é tema relevante ao atual debate acadêmico, com importantes implicações de política econômica pois, </w:t>
      </w:r>
      <w:r w:rsidR="00CD363D" w:rsidRPr="00345115">
        <w:rPr>
          <w:rFonts w:ascii="Arial" w:hAnsi="Arial" w:cs="Arial"/>
          <w:sz w:val="24"/>
          <w:szCs w:val="24"/>
        </w:rPr>
        <w:t>diante das dificuldades de se obter o ajuste fiscal necessário para colocar o país de volta a uma trajetória sustentável de resultado primário e de</w:t>
      </w:r>
      <w:r w:rsidRPr="00345115">
        <w:rPr>
          <w:rFonts w:ascii="Arial" w:hAnsi="Arial" w:cs="Arial"/>
          <w:sz w:val="24"/>
          <w:szCs w:val="24"/>
        </w:rPr>
        <w:t xml:space="preserve"> endividamento</w:t>
      </w:r>
      <w:r w:rsidR="00CD363D" w:rsidRPr="00345115">
        <w:rPr>
          <w:rFonts w:ascii="Arial" w:hAnsi="Arial" w:cs="Arial"/>
          <w:sz w:val="24"/>
          <w:szCs w:val="24"/>
        </w:rPr>
        <w:t>, o questionamento de que as regras fiscais vigentes atualmente no país são as mais adequadas a este panorama atual surgem e remete aos pesquisadores</w:t>
      </w:r>
      <w:r w:rsidRPr="00345115">
        <w:rPr>
          <w:rFonts w:ascii="Arial" w:hAnsi="Arial" w:cs="Arial"/>
          <w:sz w:val="24"/>
          <w:szCs w:val="24"/>
        </w:rPr>
        <w:t xml:space="preserve"> e formuladores de políticas</w:t>
      </w:r>
      <w:r w:rsidR="00CD363D" w:rsidRPr="00345115">
        <w:rPr>
          <w:rFonts w:ascii="Arial" w:hAnsi="Arial" w:cs="Arial"/>
          <w:sz w:val="24"/>
          <w:szCs w:val="24"/>
        </w:rPr>
        <w:t xml:space="preserve"> a investigar mais este tema.</w:t>
      </w:r>
    </w:p>
    <w:p w14:paraId="2903C0AC" w14:textId="6B7C76B1" w:rsidR="00E002A6" w:rsidRPr="00345115" w:rsidRDefault="00E002A6" w:rsidP="001822F9">
      <w:pPr>
        <w:spacing w:line="360" w:lineRule="auto"/>
        <w:ind w:firstLine="708"/>
        <w:jc w:val="both"/>
        <w:rPr>
          <w:rFonts w:ascii="Arial" w:hAnsi="Arial" w:cs="Arial"/>
          <w:sz w:val="24"/>
          <w:szCs w:val="24"/>
        </w:rPr>
      </w:pPr>
      <w:r w:rsidRPr="00345115">
        <w:rPr>
          <w:rFonts w:ascii="Arial" w:hAnsi="Arial" w:cs="Arial"/>
          <w:sz w:val="24"/>
          <w:szCs w:val="24"/>
        </w:rPr>
        <w:t>E, nesse sentido, este estudo avalia o funcionamento de determinadas regras fiscais para um conjunto de países, bem como, testa hipóteses sobre a relação entre o estabelecimento de uma regra fiscal e a trajetória do indicador ligado a essa regra</w:t>
      </w:r>
      <w:r w:rsidR="00480FC2" w:rsidRPr="00345115">
        <w:rPr>
          <w:rFonts w:ascii="Arial" w:hAnsi="Arial" w:cs="Arial"/>
          <w:sz w:val="24"/>
          <w:szCs w:val="24"/>
        </w:rPr>
        <w:t xml:space="preserve">, </w:t>
      </w:r>
      <w:r w:rsidRPr="00345115">
        <w:rPr>
          <w:rFonts w:ascii="Arial" w:hAnsi="Arial" w:cs="Arial"/>
          <w:sz w:val="24"/>
          <w:szCs w:val="24"/>
        </w:rPr>
        <w:t xml:space="preserve">e </w:t>
      </w:r>
      <w:r w:rsidR="00480FC2" w:rsidRPr="00345115">
        <w:rPr>
          <w:rFonts w:ascii="Arial" w:hAnsi="Arial" w:cs="Arial"/>
          <w:sz w:val="24"/>
          <w:szCs w:val="24"/>
        </w:rPr>
        <w:t>almeja</w:t>
      </w:r>
      <w:r w:rsidRPr="00345115">
        <w:rPr>
          <w:rFonts w:ascii="Arial" w:hAnsi="Arial" w:cs="Arial"/>
          <w:sz w:val="24"/>
          <w:szCs w:val="24"/>
        </w:rPr>
        <w:t xml:space="preserve"> contribui</w:t>
      </w:r>
      <w:r w:rsidR="00480FC2" w:rsidRPr="00345115">
        <w:rPr>
          <w:rFonts w:ascii="Arial" w:hAnsi="Arial" w:cs="Arial"/>
          <w:sz w:val="24"/>
          <w:szCs w:val="24"/>
        </w:rPr>
        <w:t>r</w:t>
      </w:r>
      <w:r w:rsidRPr="00345115">
        <w:rPr>
          <w:rFonts w:ascii="Arial" w:hAnsi="Arial" w:cs="Arial"/>
          <w:sz w:val="24"/>
          <w:szCs w:val="24"/>
        </w:rPr>
        <w:t xml:space="preserve"> com as discussões acerca dos desenhos das regras fiscais atuais e como elas tem atuado conjuntamente no país.</w:t>
      </w:r>
    </w:p>
    <w:p w14:paraId="0D0AAA8E" w14:textId="7B2766CA" w:rsidR="00345115" w:rsidRPr="00345115" w:rsidRDefault="00CD363D" w:rsidP="00345115">
      <w:pPr>
        <w:spacing w:line="360" w:lineRule="auto"/>
        <w:ind w:firstLine="708"/>
        <w:jc w:val="both"/>
        <w:rPr>
          <w:rFonts w:ascii="Arial" w:hAnsi="Arial" w:cs="Arial"/>
          <w:sz w:val="24"/>
          <w:szCs w:val="24"/>
        </w:rPr>
      </w:pPr>
      <w:r w:rsidRPr="00345115">
        <w:rPr>
          <w:rFonts w:ascii="Arial" w:hAnsi="Arial" w:cs="Arial"/>
          <w:sz w:val="24"/>
          <w:szCs w:val="24"/>
        </w:rPr>
        <w:t>Neste contex</w:t>
      </w:r>
      <w:r w:rsidR="0052471C" w:rsidRPr="00345115">
        <w:rPr>
          <w:rFonts w:ascii="Arial" w:hAnsi="Arial" w:cs="Arial"/>
          <w:sz w:val="24"/>
          <w:szCs w:val="24"/>
        </w:rPr>
        <w:t>t</w:t>
      </w:r>
      <w:r w:rsidRPr="00345115">
        <w:rPr>
          <w:rFonts w:ascii="Arial" w:hAnsi="Arial" w:cs="Arial"/>
          <w:sz w:val="24"/>
          <w:szCs w:val="24"/>
        </w:rPr>
        <w:t>o, um primeiro estudo</w:t>
      </w:r>
      <w:r w:rsidR="0052471C" w:rsidRPr="00345115">
        <w:rPr>
          <w:rFonts w:ascii="Arial" w:hAnsi="Arial" w:cs="Arial"/>
          <w:sz w:val="24"/>
          <w:szCs w:val="24"/>
        </w:rPr>
        <w:t>, a respeito das regras de endividamento e o comportamento da dívida pelos países avaliados tenta apontar um caminho de um arcabouço fiscal mais consistente com o cenário fiscal restrito pelo qual o Brasil passa atualmente.</w:t>
      </w:r>
    </w:p>
    <w:p w14:paraId="538BB24D" w14:textId="09279671" w:rsidR="00926A4F" w:rsidRPr="00B04C9D" w:rsidRDefault="00926A4F" w:rsidP="001822F9">
      <w:pPr>
        <w:pStyle w:val="Ttulo2"/>
        <w:numPr>
          <w:ilvl w:val="1"/>
          <w:numId w:val="1"/>
        </w:numPr>
        <w:rPr>
          <w:rFonts w:ascii="Arial" w:hAnsi="Arial" w:cs="Arial"/>
          <w:b/>
          <w:bCs/>
          <w:color w:val="auto"/>
          <w:sz w:val="24"/>
          <w:szCs w:val="24"/>
        </w:rPr>
      </w:pPr>
      <w:r w:rsidRPr="00B04C9D">
        <w:rPr>
          <w:rFonts w:ascii="Arial" w:hAnsi="Arial" w:cs="Arial"/>
          <w:b/>
          <w:bCs/>
          <w:color w:val="auto"/>
          <w:sz w:val="24"/>
          <w:szCs w:val="24"/>
        </w:rPr>
        <w:t>Delimitação do escopo do estudo</w:t>
      </w:r>
    </w:p>
    <w:p w14:paraId="1ACA28B7" w14:textId="5888B511" w:rsidR="00926A4F" w:rsidRPr="00345115" w:rsidRDefault="00926A4F" w:rsidP="001822F9">
      <w:pPr>
        <w:pStyle w:val="Ttulo2"/>
        <w:ind w:left="792"/>
        <w:rPr>
          <w:rFonts w:ascii="Arial" w:hAnsi="Arial" w:cs="Arial"/>
          <w:color w:val="auto"/>
          <w:sz w:val="24"/>
          <w:szCs w:val="24"/>
        </w:rPr>
      </w:pPr>
    </w:p>
    <w:p w14:paraId="1A2E6C3C" w14:textId="5EB00A74" w:rsidR="00926A4F" w:rsidRPr="00345115" w:rsidRDefault="00926A4F" w:rsidP="001822F9">
      <w:pPr>
        <w:spacing w:line="360" w:lineRule="auto"/>
        <w:ind w:firstLine="708"/>
        <w:jc w:val="both"/>
        <w:rPr>
          <w:rFonts w:ascii="Arial" w:hAnsi="Arial" w:cs="Arial"/>
          <w:sz w:val="24"/>
          <w:szCs w:val="24"/>
        </w:rPr>
      </w:pPr>
      <w:r w:rsidRPr="00345115">
        <w:rPr>
          <w:rFonts w:ascii="Arial" w:hAnsi="Arial" w:cs="Arial"/>
          <w:sz w:val="24"/>
          <w:szCs w:val="24"/>
        </w:rPr>
        <w:t>Esse estudo encontra-se delimitado na análise da adoção de regras fiscais em uma amostra de 1</w:t>
      </w:r>
      <w:r w:rsidR="00F20EE0">
        <w:rPr>
          <w:rFonts w:ascii="Arial" w:hAnsi="Arial" w:cs="Arial"/>
          <w:sz w:val="24"/>
          <w:szCs w:val="24"/>
        </w:rPr>
        <w:t>5</w:t>
      </w:r>
      <w:r w:rsidRPr="00345115">
        <w:rPr>
          <w:rFonts w:ascii="Arial" w:hAnsi="Arial" w:cs="Arial"/>
          <w:sz w:val="24"/>
          <w:szCs w:val="24"/>
        </w:rPr>
        <w:t xml:space="preserve"> países, no período de 2001 a 2015, no intuito de avaliar como tais regras se relacionam com a trajetória da variável a qual se relaciona e em outros agregados fiscais.</w:t>
      </w:r>
      <w:r w:rsidR="00B04C9D">
        <w:rPr>
          <w:rFonts w:ascii="Arial" w:hAnsi="Arial" w:cs="Arial"/>
          <w:sz w:val="24"/>
          <w:szCs w:val="24"/>
        </w:rPr>
        <w:t xml:space="preserve"> Os países que compõem o grupo das nações avançadas são: Estados Unidos, Alemanha, França, Itália, Espanha, Japão, Reino Unido e Canadá. Por sua vez, os países que compõem o grupo dos mercados emergentes e economias em desenvolvimento são: Rússia, China, Índia, </w:t>
      </w:r>
      <w:r w:rsidR="00F20EE0">
        <w:rPr>
          <w:rFonts w:ascii="Arial" w:hAnsi="Arial" w:cs="Arial"/>
          <w:sz w:val="24"/>
          <w:szCs w:val="24"/>
        </w:rPr>
        <w:t>Brasil, México, Arábia Saudita e Nigéria.</w:t>
      </w:r>
    </w:p>
    <w:p w14:paraId="59AD9C52" w14:textId="746A9F7A" w:rsidR="0052471C" w:rsidRPr="00F20EE0" w:rsidRDefault="0052471C" w:rsidP="0052471C">
      <w:pPr>
        <w:pStyle w:val="Ttulo2"/>
        <w:numPr>
          <w:ilvl w:val="1"/>
          <w:numId w:val="1"/>
        </w:numPr>
        <w:rPr>
          <w:rFonts w:ascii="Arial" w:hAnsi="Arial" w:cs="Arial"/>
          <w:b/>
          <w:bCs/>
          <w:sz w:val="24"/>
          <w:szCs w:val="24"/>
        </w:rPr>
      </w:pPr>
      <w:r w:rsidRPr="00F20EE0">
        <w:rPr>
          <w:rFonts w:ascii="Arial" w:hAnsi="Arial" w:cs="Arial"/>
          <w:b/>
          <w:bCs/>
          <w:color w:val="auto"/>
          <w:sz w:val="24"/>
          <w:szCs w:val="24"/>
        </w:rPr>
        <w:t>Organização do estudo</w:t>
      </w:r>
    </w:p>
    <w:p w14:paraId="397510D8" w14:textId="77777777" w:rsidR="0052471C" w:rsidRPr="00345115" w:rsidRDefault="0052471C" w:rsidP="0052471C">
      <w:pPr>
        <w:rPr>
          <w:rFonts w:ascii="Arial" w:hAnsi="Arial" w:cs="Arial"/>
        </w:rPr>
      </w:pPr>
    </w:p>
    <w:p w14:paraId="150ADED5" w14:textId="6BC3EBA0" w:rsidR="006B67C8" w:rsidRPr="00345115" w:rsidRDefault="0052471C" w:rsidP="00345115">
      <w:pPr>
        <w:spacing w:line="360" w:lineRule="auto"/>
        <w:ind w:firstLine="708"/>
        <w:jc w:val="both"/>
        <w:rPr>
          <w:rFonts w:ascii="Arial" w:hAnsi="Arial" w:cs="Arial"/>
        </w:rPr>
      </w:pPr>
      <w:r w:rsidRPr="00345115">
        <w:rPr>
          <w:rFonts w:ascii="Arial" w:hAnsi="Arial" w:cs="Arial"/>
          <w:sz w:val="24"/>
          <w:szCs w:val="24"/>
        </w:rPr>
        <w:t xml:space="preserve">Para além dessa Introdução, o trabalho está organizado em </w:t>
      </w:r>
      <w:r w:rsidR="00882B94" w:rsidRPr="00345115">
        <w:rPr>
          <w:rFonts w:ascii="Arial" w:hAnsi="Arial" w:cs="Arial"/>
          <w:sz w:val="24"/>
          <w:szCs w:val="24"/>
        </w:rPr>
        <w:t>3</w:t>
      </w:r>
      <w:r w:rsidRPr="00345115">
        <w:rPr>
          <w:rFonts w:ascii="Arial" w:hAnsi="Arial" w:cs="Arial"/>
          <w:sz w:val="24"/>
          <w:szCs w:val="24"/>
        </w:rPr>
        <w:t xml:space="preserve"> seções. Na primeira seção será abordada a fundamentação teórica das regras fiscais, na segunda, a metodologia utilizada para testar as hipóteses do problema de pesquisa considerado e </w:t>
      </w:r>
      <w:r w:rsidR="00882B94" w:rsidRPr="00345115">
        <w:rPr>
          <w:rFonts w:ascii="Arial" w:hAnsi="Arial" w:cs="Arial"/>
          <w:sz w:val="24"/>
          <w:szCs w:val="24"/>
        </w:rPr>
        <w:t>n</w:t>
      </w:r>
      <w:r w:rsidRPr="00345115">
        <w:rPr>
          <w:rFonts w:ascii="Arial" w:hAnsi="Arial" w:cs="Arial"/>
          <w:sz w:val="24"/>
          <w:szCs w:val="24"/>
        </w:rPr>
        <w:t xml:space="preserve">a terceira seção </w:t>
      </w:r>
      <w:r w:rsidR="00882B94" w:rsidRPr="00345115">
        <w:rPr>
          <w:rFonts w:ascii="Arial" w:hAnsi="Arial" w:cs="Arial"/>
          <w:sz w:val="24"/>
          <w:szCs w:val="24"/>
        </w:rPr>
        <w:t>serão elencadas as</w:t>
      </w:r>
      <w:r w:rsidRPr="00345115">
        <w:rPr>
          <w:rFonts w:ascii="Arial" w:hAnsi="Arial" w:cs="Arial"/>
          <w:sz w:val="24"/>
          <w:szCs w:val="24"/>
        </w:rPr>
        <w:t xml:space="preserve"> conclusões do estudo e </w:t>
      </w:r>
      <w:r w:rsidR="00882B94" w:rsidRPr="00345115">
        <w:rPr>
          <w:rFonts w:ascii="Arial" w:hAnsi="Arial" w:cs="Arial"/>
          <w:sz w:val="24"/>
          <w:szCs w:val="24"/>
        </w:rPr>
        <w:t>apontados</w:t>
      </w:r>
      <w:r w:rsidRPr="00345115">
        <w:rPr>
          <w:rFonts w:ascii="Arial" w:hAnsi="Arial" w:cs="Arial"/>
          <w:sz w:val="24"/>
          <w:szCs w:val="24"/>
        </w:rPr>
        <w:t xml:space="preserve"> alguns caminhos de pesquisas para próximas etapas.</w:t>
      </w:r>
    </w:p>
    <w:p w14:paraId="4AC260A3" w14:textId="5CA67E31" w:rsidR="00F0005D" w:rsidRPr="00F20EE0" w:rsidRDefault="00772E99" w:rsidP="00F0005D">
      <w:pPr>
        <w:pStyle w:val="Ttulo1"/>
        <w:numPr>
          <w:ilvl w:val="0"/>
          <w:numId w:val="1"/>
        </w:numPr>
        <w:rPr>
          <w:rFonts w:ascii="Arial" w:hAnsi="Arial" w:cs="Arial"/>
          <w:b/>
          <w:bCs/>
          <w:color w:val="auto"/>
          <w:sz w:val="24"/>
          <w:szCs w:val="24"/>
        </w:rPr>
      </w:pPr>
      <w:bookmarkStart w:id="0" w:name="_Toc536694239"/>
      <w:r w:rsidRPr="00F20EE0">
        <w:rPr>
          <w:rFonts w:ascii="Arial" w:hAnsi="Arial" w:cs="Arial"/>
          <w:b/>
          <w:bCs/>
          <w:color w:val="auto"/>
          <w:sz w:val="24"/>
          <w:szCs w:val="24"/>
        </w:rPr>
        <w:lastRenderedPageBreak/>
        <w:t>REFERENCIAL TEÓRICO</w:t>
      </w:r>
      <w:bookmarkEnd w:id="0"/>
    </w:p>
    <w:p w14:paraId="1E022110" w14:textId="77777777" w:rsidR="00F0005D" w:rsidRPr="00F20EE0" w:rsidRDefault="00F0005D" w:rsidP="00F0005D">
      <w:pPr>
        <w:rPr>
          <w:rFonts w:ascii="Arial" w:hAnsi="Arial" w:cs="Arial"/>
          <w:b/>
          <w:bCs/>
          <w:sz w:val="24"/>
          <w:szCs w:val="24"/>
        </w:rPr>
      </w:pPr>
    </w:p>
    <w:p w14:paraId="52BB201A" w14:textId="77777777" w:rsidR="00F0005D" w:rsidRPr="00F20EE0" w:rsidRDefault="00F0005D" w:rsidP="00E21838">
      <w:pPr>
        <w:pStyle w:val="Ttulo2"/>
        <w:numPr>
          <w:ilvl w:val="1"/>
          <w:numId w:val="1"/>
        </w:numPr>
        <w:rPr>
          <w:rFonts w:ascii="Arial" w:hAnsi="Arial" w:cs="Arial"/>
          <w:b/>
          <w:bCs/>
          <w:color w:val="auto"/>
          <w:sz w:val="24"/>
          <w:szCs w:val="24"/>
        </w:rPr>
      </w:pPr>
      <w:bookmarkStart w:id="1" w:name="_Toc536694240"/>
      <w:r w:rsidRPr="00F20EE0">
        <w:rPr>
          <w:rFonts w:ascii="Arial" w:hAnsi="Arial" w:cs="Arial"/>
          <w:b/>
          <w:bCs/>
          <w:color w:val="auto"/>
          <w:sz w:val="24"/>
          <w:szCs w:val="24"/>
        </w:rPr>
        <w:t>Experiência Internacional das regras fiscais</w:t>
      </w:r>
      <w:bookmarkEnd w:id="1"/>
    </w:p>
    <w:p w14:paraId="6FCB759C" w14:textId="77777777" w:rsidR="00F0005D" w:rsidRPr="00345115" w:rsidRDefault="00F0005D" w:rsidP="00F0005D">
      <w:pPr>
        <w:pStyle w:val="Default"/>
        <w:rPr>
          <w:rFonts w:ascii="Arial" w:hAnsi="Arial" w:cs="Arial"/>
          <w:b/>
          <w:bCs/>
        </w:rPr>
      </w:pPr>
    </w:p>
    <w:p w14:paraId="6B6BDEA6" w14:textId="77777777" w:rsidR="00F0005D" w:rsidRPr="00345115" w:rsidRDefault="00F0005D" w:rsidP="001822F9">
      <w:pPr>
        <w:spacing w:line="360" w:lineRule="auto"/>
        <w:ind w:firstLine="708"/>
        <w:jc w:val="both"/>
        <w:rPr>
          <w:rFonts w:ascii="Arial" w:hAnsi="Arial" w:cs="Arial"/>
          <w:sz w:val="24"/>
          <w:szCs w:val="24"/>
        </w:rPr>
      </w:pPr>
      <w:r w:rsidRPr="00345115">
        <w:rPr>
          <w:rFonts w:ascii="Arial" w:hAnsi="Arial" w:cs="Arial"/>
          <w:sz w:val="24"/>
          <w:szCs w:val="24"/>
        </w:rPr>
        <w:t>Regras fiscais são consideradas uma restrição duradoura à política fiscal através de limites numéricos sobre agregados orçamentários (FMI, 2009). As regras fiscais normalmente visam corrigir incentivos distorcidos e conter pressões para gastar mais, especialmente nos bons tempos, de modo a assegurar a responsabilidade fiscal e a sustentabilidade da dívida. Por sua vez, as regras de despesas geralmente estabelecem limites permanentes nos gastos totais. Como tal, estas regras não estão ligadas diretamente ao objetivo de sustentabilidade da dívida, porém podem fornecer uma ferramenta operacional auxiliar a consolidação fiscal, quando acompanhada de regras de dívida ou regras de balanço orçamentário (FMI, 2009). Além disso, as regras visam corrigir os incentivos distorcidos na formulação de políticas.</w:t>
      </w:r>
    </w:p>
    <w:p w14:paraId="55910C20" w14:textId="580D23BE" w:rsidR="00F0005D" w:rsidRPr="00345115" w:rsidRDefault="00F0005D" w:rsidP="001822F9">
      <w:pPr>
        <w:spacing w:line="360" w:lineRule="auto"/>
        <w:ind w:firstLine="708"/>
        <w:jc w:val="both"/>
        <w:rPr>
          <w:rFonts w:ascii="Arial" w:hAnsi="Arial" w:cs="Arial"/>
          <w:sz w:val="24"/>
          <w:szCs w:val="24"/>
        </w:rPr>
      </w:pPr>
      <w:r w:rsidRPr="00345115">
        <w:rPr>
          <w:rFonts w:ascii="Arial" w:hAnsi="Arial" w:cs="Arial"/>
          <w:sz w:val="24"/>
          <w:szCs w:val="24"/>
        </w:rPr>
        <w:t xml:space="preserve">Em decorrência do Tratado de Maastricht (1992) observa-se um primeiro movimento das regras fiscais, que estabeleceu critérios numéricos para os países entrantes na união, e incluiu a observância a regras de dívida (máximo de 60% do PIB) e de resultado orçamentário (limite de déficit de 3%). </w:t>
      </w:r>
    </w:p>
    <w:p w14:paraId="4A7BA49B" w14:textId="04CF3499" w:rsidR="00F0005D" w:rsidRPr="00345115" w:rsidRDefault="00F0005D" w:rsidP="00345115">
      <w:pPr>
        <w:spacing w:line="360" w:lineRule="auto"/>
        <w:ind w:firstLine="708"/>
        <w:jc w:val="both"/>
        <w:rPr>
          <w:rFonts w:ascii="Arial" w:hAnsi="Arial" w:cs="Arial"/>
          <w:sz w:val="24"/>
          <w:szCs w:val="24"/>
        </w:rPr>
      </w:pPr>
      <w:r w:rsidRPr="00345115">
        <w:rPr>
          <w:rFonts w:ascii="Arial" w:hAnsi="Arial" w:cs="Arial"/>
          <w:sz w:val="24"/>
          <w:szCs w:val="24"/>
        </w:rPr>
        <w:t xml:space="preserve">Conforme </w:t>
      </w:r>
      <w:proofErr w:type="spellStart"/>
      <w:r w:rsidRPr="00345115">
        <w:rPr>
          <w:rFonts w:ascii="Arial" w:hAnsi="Arial" w:cs="Arial"/>
          <w:sz w:val="24"/>
          <w:szCs w:val="24"/>
        </w:rPr>
        <w:t>Dothan</w:t>
      </w:r>
      <w:proofErr w:type="spellEnd"/>
      <w:r w:rsidRPr="00345115">
        <w:rPr>
          <w:rFonts w:ascii="Arial" w:hAnsi="Arial" w:cs="Arial"/>
          <w:sz w:val="24"/>
          <w:szCs w:val="24"/>
        </w:rPr>
        <w:t xml:space="preserve"> e Thompson (2009) e o FMI (2018c)</w:t>
      </w:r>
      <w:r w:rsidR="00345115" w:rsidRPr="00345115">
        <w:rPr>
          <w:rFonts w:ascii="Arial" w:hAnsi="Arial" w:cs="Arial"/>
          <w:sz w:val="24"/>
          <w:szCs w:val="24"/>
        </w:rPr>
        <w:t>,</w:t>
      </w:r>
      <w:r w:rsidRPr="00345115">
        <w:rPr>
          <w:rFonts w:ascii="Arial" w:hAnsi="Arial" w:cs="Arial"/>
          <w:sz w:val="24"/>
          <w:szCs w:val="24"/>
        </w:rPr>
        <w:t xml:space="preserve"> após a crise de 2008 a adoção de regras nacionais e supranacionais se tornou urgente. Com a forte restrição orçamentária</w:t>
      </w:r>
      <w:r w:rsidR="00190DDA" w:rsidRPr="00345115">
        <w:rPr>
          <w:rFonts w:ascii="Arial" w:hAnsi="Arial" w:cs="Arial"/>
          <w:sz w:val="24"/>
          <w:szCs w:val="24"/>
        </w:rPr>
        <w:t xml:space="preserve">, os países </w:t>
      </w:r>
      <w:r w:rsidRPr="00345115">
        <w:rPr>
          <w:rFonts w:ascii="Arial" w:hAnsi="Arial" w:cs="Arial"/>
          <w:sz w:val="24"/>
          <w:szCs w:val="24"/>
        </w:rPr>
        <w:t xml:space="preserve">passaram a dependem das instituições, </w:t>
      </w:r>
      <w:r w:rsidR="00190DDA" w:rsidRPr="00345115">
        <w:rPr>
          <w:rFonts w:ascii="Arial" w:hAnsi="Arial" w:cs="Arial"/>
          <w:sz w:val="24"/>
          <w:szCs w:val="24"/>
        </w:rPr>
        <w:t xml:space="preserve">de </w:t>
      </w:r>
      <w:r w:rsidRPr="00345115">
        <w:rPr>
          <w:rFonts w:ascii="Arial" w:hAnsi="Arial" w:cs="Arial"/>
          <w:sz w:val="24"/>
          <w:szCs w:val="24"/>
        </w:rPr>
        <w:t xml:space="preserve">regras e </w:t>
      </w:r>
      <w:r w:rsidR="00190DDA" w:rsidRPr="00345115">
        <w:rPr>
          <w:rFonts w:ascii="Arial" w:hAnsi="Arial" w:cs="Arial"/>
          <w:sz w:val="24"/>
          <w:szCs w:val="24"/>
        </w:rPr>
        <w:t xml:space="preserve">de </w:t>
      </w:r>
      <w:r w:rsidRPr="00345115">
        <w:rPr>
          <w:rFonts w:ascii="Arial" w:hAnsi="Arial" w:cs="Arial"/>
          <w:sz w:val="24"/>
          <w:szCs w:val="24"/>
        </w:rPr>
        <w:t xml:space="preserve">normas a fim de restringir a substituição intertemporal.  Importante notar que nos países de renda mais baixa, o principal motivo para a adoção </w:t>
      </w:r>
      <w:r w:rsidR="00190DDA" w:rsidRPr="00345115">
        <w:rPr>
          <w:rFonts w:ascii="Arial" w:hAnsi="Arial" w:cs="Arial"/>
          <w:sz w:val="24"/>
          <w:szCs w:val="24"/>
        </w:rPr>
        <w:t xml:space="preserve">de </w:t>
      </w:r>
      <w:r w:rsidRPr="00345115">
        <w:rPr>
          <w:rFonts w:ascii="Arial" w:hAnsi="Arial" w:cs="Arial"/>
          <w:sz w:val="24"/>
          <w:szCs w:val="24"/>
        </w:rPr>
        <w:t xml:space="preserve">regras fiscais foram ajustes fiscais para conter </w:t>
      </w:r>
      <w:r w:rsidR="00190DDA" w:rsidRPr="00345115">
        <w:rPr>
          <w:rFonts w:ascii="Arial" w:hAnsi="Arial" w:cs="Arial"/>
          <w:sz w:val="24"/>
          <w:szCs w:val="24"/>
        </w:rPr>
        <w:t xml:space="preserve">as </w:t>
      </w:r>
      <w:r w:rsidRPr="00345115">
        <w:rPr>
          <w:rFonts w:ascii="Arial" w:hAnsi="Arial" w:cs="Arial"/>
          <w:sz w:val="24"/>
          <w:szCs w:val="24"/>
        </w:rPr>
        <w:t>crises (Brasil, Argentina, Colômbia, índia e Paquistão), ao contrário dos países de economia mais avançad</w:t>
      </w:r>
      <w:r w:rsidR="00190DDA" w:rsidRPr="00345115">
        <w:rPr>
          <w:rFonts w:ascii="Arial" w:hAnsi="Arial" w:cs="Arial"/>
          <w:sz w:val="24"/>
          <w:szCs w:val="24"/>
        </w:rPr>
        <w:t>a</w:t>
      </w:r>
      <w:r w:rsidRPr="00345115">
        <w:rPr>
          <w:rFonts w:ascii="Arial" w:hAnsi="Arial" w:cs="Arial"/>
          <w:sz w:val="24"/>
          <w:szCs w:val="24"/>
        </w:rPr>
        <w:t xml:space="preserve">s, em que regras foram adotadas como requerimento para uma coordenação política </w:t>
      </w:r>
      <w:r w:rsidR="00273343" w:rsidRPr="00345115">
        <w:rPr>
          <w:rFonts w:ascii="Arial" w:hAnsi="Arial" w:cs="Arial"/>
          <w:sz w:val="24"/>
          <w:szCs w:val="24"/>
        </w:rPr>
        <w:t xml:space="preserve">e econômica </w:t>
      </w:r>
      <w:r w:rsidRPr="00345115">
        <w:rPr>
          <w:rFonts w:ascii="Arial" w:hAnsi="Arial" w:cs="Arial"/>
          <w:sz w:val="24"/>
          <w:szCs w:val="24"/>
        </w:rPr>
        <w:t>exigida pelo bloco europeu. (FMI, 2018c).</w:t>
      </w:r>
    </w:p>
    <w:p w14:paraId="0466A7DA" w14:textId="17681F80" w:rsidR="00F0005D" w:rsidRPr="00345115" w:rsidRDefault="00F0005D" w:rsidP="00F0005D">
      <w:pPr>
        <w:spacing w:after="0" w:line="360" w:lineRule="auto"/>
        <w:ind w:firstLine="709"/>
        <w:jc w:val="both"/>
        <w:rPr>
          <w:rFonts w:ascii="Arial" w:hAnsi="Arial" w:cs="Arial"/>
          <w:sz w:val="24"/>
          <w:szCs w:val="24"/>
        </w:rPr>
      </w:pPr>
      <w:r w:rsidRPr="00345115">
        <w:rPr>
          <w:rFonts w:ascii="Arial" w:hAnsi="Arial" w:cs="Arial"/>
          <w:sz w:val="24"/>
          <w:szCs w:val="24"/>
        </w:rPr>
        <w:t xml:space="preserve">As regras fiscais também foram associadas a bons resultados de consolidação fiscal. Nos países da OCDE, o tamanho das consolidações fiscais </w:t>
      </w:r>
      <w:proofErr w:type="spellStart"/>
      <w:r w:rsidRPr="00345115">
        <w:rPr>
          <w:rFonts w:ascii="Arial" w:hAnsi="Arial" w:cs="Arial"/>
          <w:sz w:val="24"/>
          <w:szCs w:val="24"/>
        </w:rPr>
        <w:t>foi</w:t>
      </w:r>
      <w:proofErr w:type="spellEnd"/>
      <w:r w:rsidRPr="00345115">
        <w:rPr>
          <w:rFonts w:ascii="Arial" w:hAnsi="Arial" w:cs="Arial"/>
          <w:sz w:val="24"/>
          <w:szCs w:val="24"/>
        </w:rPr>
        <w:t xml:space="preserve"> significativamente maior quando as regras fiscais supranacionais estavam presentes (</w:t>
      </w:r>
      <w:proofErr w:type="spellStart"/>
      <w:r w:rsidRPr="00345115">
        <w:rPr>
          <w:rFonts w:ascii="Arial" w:hAnsi="Arial" w:cs="Arial"/>
          <w:sz w:val="24"/>
          <w:szCs w:val="24"/>
        </w:rPr>
        <w:t>Guichard</w:t>
      </w:r>
      <w:proofErr w:type="spellEnd"/>
      <w:r w:rsidRPr="00345115">
        <w:rPr>
          <w:rFonts w:ascii="Arial" w:hAnsi="Arial" w:cs="Arial"/>
          <w:sz w:val="24"/>
          <w:szCs w:val="24"/>
        </w:rPr>
        <w:t xml:space="preserve"> et al., 2007 apud FMI, 2009). Para os países da U</w:t>
      </w:r>
      <w:r w:rsidR="00E21838" w:rsidRPr="00345115">
        <w:rPr>
          <w:rFonts w:ascii="Arial" w:hAnsi="Arial" w:cs="Arial"/>
          <w:sz w:val="24"/>
          <w:szCs w:val="24"/>
        </w:rPr>
        <w:t xml:space="preserve">nião </w:t>
      </w:r>
      <w:r w:rsidRPr="00345115">
        <w:rPr>
          <w:rFonts w:ascii="Arial" w:hAnsi="Arial" w:cs="Arial"/>
          <w:sz w:val="24"/>
          <w:szCs w:val="24"/>
        </w:rPr>
        <w:t>E</w:t>
      </w:r>
      <w:r w:rsidR="00E21838" w:rsidRPr="00345115">
        <w:rPr>
          <w:rFonts w:ascii="Arial" w:hAnsi="Arial" w:cs="Arial"/>
          <w:sz w:val="24"/>
          <w:szCs w:val="24"/>
        </w:rPr>
        <w:t>uropeia</w:t>
      </w:r>
      <w:r w:rsidRPr="00345115">
        <w:rPr>
          <w:rFonts w:ascii="Arial" w:hAnsi="Arial" w:cs="Arial"/>
          <w:sz w:val="24"/>
          <w:szCs w:val="24"/>
        </w:rPr>
        <w:t xml:space="preserve">, as análises empíricas demonstram que regras orçamentárias mais </w:t>
      </w:r>
      <w:r w:rsidRPr="00345115">
        <w:rPr>
          <w:rFonts w:ascii="Arial" w:hAnsi="Arial" w:cs="Arial"/>
          <w:sz w:val="24"/>
          <w:szCs w:val="24"/>
        </w:rPr>
        <w:lastRenderedPageBreak/>
        <w:t>fortes e mais amplas - medidas de acordo com a adoção de regras de orçamento - estavam associadas a uma maior probabilidade de consolidação fiscal.</w:t>
      </w:r>
    </w:p>
    <w:p w14:paraId="108D285A" w14:textId="3A6EAF83" w:rsidR="00E21838" w:rsidRPr="00345115" w:rsidRDefault="00E21838" w:rsidP="00F0005D">
      <w:pPr>
        <w:spacing w:after="0" w:line="360" w:lineRule="auto"/>
        <w:ind w:firstLine="709"/>
        <w:jc w:val="both"/>
        <w:rPr>
          <w:rFonts w:ascii="Arial" w:hAnsi="Arial" w:cs="Arial"/>
          <w:sz w:val="24"/>
          <w:szCs w:val="24"/>
        </w:rPr>
      </w:pPr>
    </w:p>
    <w:p w14:paraId="4350030A" w14:textId="27DE0A4D" w:rsidR="00E40875" w:rsidRPr="00F20EE0" w:rsidRDefault="00E40875" w:rsidP="00882B94">
      <w:pPr>
        <w:pStyle w:val="Ttulo2"/>
        <w:numPr>
          <w:ilvl w:val="1"/>
          <w:numId w:val="1"/>
        </w:numPr>
        <w:rPr>
          <w:rFonts w:ascii="Arial" w:hAnsi="Arial" w:cs="Arial"/>
          <w:b/>
          <w:bCs/>
          <w:color w:val="auto"/>
          <w:sz w:val="24"/>
          <w:szCs w:val="24"/>
        </w:rPr>
      </w:pPr>
      <w:r w:rsidRPr="00F20EE0">
        <w:rPr>
          <w:rFonts w:ascii="Arial" w:hAnsi="Arial" w:cs="Arial"/>
          <w:b/>
          <w:bCs/>
          <w:color w:val="auto"/>
          <w:sz w:val="24"/>
          <w:szCs w:val="24"/>
        </w:rPr>
        <w:t>Regras de Dívida</w:t>
      </w:r>
    </w:p>
    <w:p w14:paraId="3B29A585" w14:textId="77777777" w:rsidR="00E40875" w:rsidRPr="00345115" w:rsidRDefault="00E40875" w:rsidP="00F0005D">
      <w:pPr>
        <w:spacing w:after="0" w:line="360" w:lineRule="auto"/>
        <w:ind w:firstLine="709"/>
        <w:jc w:val="both"/>
        <w:rPr>
          <w:rFonts w:ascii="Arial" w:hAnsi="Arial" w:cs="Arial"/>
          <w:sz w:val="24"/>
          <w:szCs w:val="24"/>
        </w:rPr>
      </w:pPr>
    </w:p>
    <w:p w14:paraId="0FE79F72" w14:textId="68E38369" w:rsidR="00404AF7" w:rsidRPr="00345115" w:rsidRDefault="00E40875" w:rsidP="001822F9">
      <w:pPr>
        <w:spacing w:line="360" w:lineRule="auto"/>
        <w:ind w:firstLine="708"/>
        <w:jc w:val="both"/>
        <w:rPr>
          <w:rFonts w:ascii="Arial" w:hAnsi="Arial" w:cs="Arial"/>
          <w:sz w:val="24"/>
          <w:szCs w:val="24"/>
        </w:rPr>
      </w:pPr>
      <w:r w:rsidRPr="00345115">
        <w:rPr>
          <w:rFonts w:ascii="Arial" w:hAnsi="Arial" w:cs="Arial"/>
          <w:sz w:val="24"/>
          <w:szCs w:val="24"/>
        </w:rPr>
        <w:t xml:space="preserve">Impor limites a dívida pública é um mecanismo comum no contexto das regras fiscais. No ano de 2015, cerca de 70 países adotavam um limite explícito para suas dívidas, que normalmente são medidas em termos de dívida bruta. Ademais os limites estabelecidos podem variar sobremaneira, mas o intervalo mais observado é aquele entre 60% e 70%. A maioria dos países que adotam os limites de dívida adotam, adicionalmente, regras para operacionalizar seus tetos de dívida, isso porque, </w:t>
      </w:r>
      <w:r w:rsidR="0038665C" w:rsidRPr="00345115">
        <w:rPr>
          <w:rFonts w:ascii="Arial" w:hAnsi="Arial" w:cs="Arial"/>
          <w:sz w:val="24"/>
          <w:szCs w:val="24"/>
        </w:rPr>
        <w:t>as trajetórias daquela não são diretamente controladas pelos governantes. Segundo (</w:t>
      </w:r>
      <w:r w:rsidR="008D637A" w:rsidRPr="00345115">
        <w:rPr>
          <w:rFonts w:ascii="Arial" w:hAnsi="Arial" w:cs="Arial"/>
          <w:sz w:val="24"/>
          <w:szCs w:val="24"/>
        </w:rPr>
        <w:t>FMI, 2018a</w:t>
      </w:r>
      <w:r w:rsidR="0038665C" w:rsidRPr="00345115">
        <w:rPr>
          <w:rFonts w:ascii="Arial" w:hAnsi="Arial" w:cs="Arial"/>
          <w:sz w:val="24"/>
          <w:szCs w:val="24"/>
        </w:rPr>
        <w:t>), mais de 80% dos países que com regras de dívida também adotam regras de saldo orçamentário (nominal ou estrutural), além de adotar limites para suas despesas (cerca de 30% daqueles).</w:t>
      </w:r>
    </w:p>
    <w:p w14:paraId="22278A64" w14:textId="77777777" w:rsidR="00345115" w:rsidRPr="00345115" w:rsidRDefault="0038665C" w:rsidP="001822F9">
      <w:pPr>
        <w:spacing w:line="360" w:lineRule="auto"/>
        <w:ind w:firstLine="708"/>
        <w:jc w:val="both"/>
        <w:rPr>
          <w:rFonts w:ascii="Arial" w:hAnsi="Arial" w:cs="Arial"/>
          <w:sz w:val="24"/>
          <w:szCs w:val="24"/>
        </w:rPr>
      </w:pPr>
      <w:r w:rsidRPr="00345115">
        <w:rPr>
          <w:rFonts w:ascii="Arial" w:hAnsi="Arial" w:cs="Arial"/>
          <w:sz w:val="24"/>
          <w:szCs w:val="24"/>
        </w:rPr>
        <w:t xml:space="preserve">A dívida e o déficit correspondem a uma identidade contábil, isso porque, a dívida de um país é o estoque acumulado dos fluxos passados do déficit, enquanto o déficit de um determinado ano capta a variação anual da dívida do país. Alguns fatores, como </w:t>
      </w:r>
      <w:r w:rsidR="00404AF7" w:rsidRPr="00345115">
        <w:rPr>
          <w:rFonts w:ascii="Arial" w:hAnsi="Arial" w:cs="Arial"/>
          <w:sz w:val="24"/>
          <w:szCs w:val="24"/>
        </w:rPr>
        <w:t xml:space="preserve">flutuações cambiais e acumulação de ativos podem alterar ligeiramente essa relação contábil, no entanto, ao longo do tempo, as trajetórias de dívida e déficit são próximas. </w:t>
      </w:r>
    </w:p>
    <w:p w14:paraId="667689A4" w14:textId="46CF84D4" w:rsidR="0038665C" w:rsidRPr="00345115" w:rsidRDefault="00404AF7" w:rsidP="001822F9">
      <w:pPr>
        <w:spacing w:line="360" w:lineRule="auto"/>
        <w:ind w:firstLine="708"/>
        <w:jc w:val="both"/>
        <w:rPr>
          <w:rFonts w:ascii="Arial" w:hAnsi="Arial" w:cs="Arial"/>
          <w:sz w:val="24"/>
          <w:szCs w:val="24"/>
        </w:rPr>
      </w:pPr>
      <w:r w:rsidRPr="00345115">
        <w:rPr>
          <w:rFonts w:ascii="Arial" w:hAnsi="Arial" w:cs="Arial"/>
          <w:sz w:val="24"/>
          <w:szCs w:val="24"/>
        </w:rPr>
        <w:t>Da mesma forma, os déficits estão ligados aos gastos do governo, em que cenários de déficits persistentes se associam a cortes de gastos pelos países.</w:t>
      </w:r>
      <w:r w:rsidR="00743853" w:rsidRPr="00345115">
        <w:rPr>
          <w:rFonts w:ascii="Arial" w:hAnsi="Arial" w:cs="Arial"/>
          <w:sz w:val="24"/>
          <w:szCs w:val="24"/>
        </w:rPr>
        <w:t xml:space="preserve"> Logo, metas de dívida se associam aos resultados orçamentários e aos gastos e é a coerência entre as regras que vai influenciar nos resultados obtidos.</w:t>
      </w:r>
    </w:p>
    <w:p w14:paraId="60DC6377" w14:textId="38D44731" w:rsidR="00292ACE" w:rsidRPr="00345115" w:rsidRDefault="00345115" w:rsidP="00F0005D">
      <w:pPr>
        <w:spacing w:after="0" w:line="360" w:lineRule="auto"/>
        <w:ind w:firstLine="709"/>
        <w:jc w:val="both"/>
        <w:rPr>
          <w:rFonts w:ascii="Arial" w:hAnsi="Arial" w:cs="Arial"/>
          <w:sz w:val="24"/>
          <w:szCs w:val="24"/>
        </w:rPr>
      </w:pPr>
      <w:r w:rsidRPr="00345115">
        <w:rPr>
          <w:rFonts w:ascii="Arial" w:hAnsi="Arial" w:cs="Arial"/>
          <w:sz w:val="24"/>
          <w:szCs w:val="24"/>
        </w:rPr>
        <w:t>Já</w:t>
      </w:r>
      <w:r w:rsidR="00292ACE" w:rsidRPr="00345115">
        <w:rPr>
          <w:rFonts w:ascii="Arial" w:hAnsi="Arial" w:cs="Arial"/>
          <w:sz w:val="24"/>
          <w:szCs w:val="24"/>
        </w:rPr>
        <w:t xml:space="preserve"> as regras de resultado nominal estão mais associadas a sustentabilidade da dívida do que as regras de resultado primários, já que estas, na medida em que não computam os juros de equilíbrio e está mais diretamente ligada às decisões de natureza política, o que pode permitir que o vínculo com </w:t>
      </w:r>
      <w:r w:rsidR="009A3F3D" w:rsidRPr="00345115">
        <w:rPr>
          <w:rFonts w:ascii="Arial" w:hAnsi="Arial" w:cs="Arial"/>
          <w:sz w:val="24"/>
          <w:szCs w:val="24"/>
        </w:rPr>
        <w:t>a</w:t>
      </w:r>
      <w:r w:rsidR="00292ACE" w:rsidRPr="00345115">
        <w:rPr>
          <w:rFonts w:ascii="Arial" w:hAnsi="Arial" w:cs="Arial"/>
          <w:sz w:val="24"/>
          <w:szCs w:val="24"/>
        </w:rPr>
        <w:t xml:space="preserve"> dívida se enfraqueça, levando a uma trajetória insustentável</w:t>
      </w:r>
      <w:r w:rsidRPr="00345115">
        <w:rPr>
          <w:rFonts w:ascii="Arial" w:hAnsi="Arial" w:cs="Arial"/>
          <w:sz w:val="24"/>
          <w:szCs w:val="24"/>
        </w:rPr>
        <w:t xml:space="preserve"> (FMI, 2018b)</w:t>
      </w:r>
      <w:r w:rsidR="00292ACE" w:rsidRPr="00345115">
        <w:rPr>
          <w:rFonts w:ascii="Arial" w:hAnsi="Arial" w:cs="Arial"/>
          <w:sz w:val="24"/>
          <w:szCs w:val="24"/>
        </w:rPr>
        <w:t>.</w:t>
      </w:r>
    </w:p>
    <w:p w14:paraId="71420BFE" w14:textId="77777777" w:rsidR="00F0005D" w:rsidRPr="00345115" w:rsidRDefault="00F0005D" w:rsidP="00F0005D">
      <w:pPr>
        <w:pStyle w:val="Default"/>
        <w:rPr>
          <w:rFonts w:ascii="Arial" w:hAnsi="Arial" w:cs="Arial"/>
          <w:b/>
          <w:bCs/>
        </w:rPr>
      </w:pPr>
    </w:p>
    <w:p w14:paraId="0DD2F927" w14:textId="77777777" w:rsidR="00F0005D" w:rsidRPr="00F20EE0" w:rsidRDefault="00F0005D" w:rsidP="00882B94">
      <w:pPr>
        <w:pStyle w:val="Ttulo2"/>
        <w:numPr>
          <w:ilvl w:val="1"/>
          <w:numId w:val="1"/>
        </w:numPr>
        <w:rPr>
          <w:rFonts w:ascii="Arial" w:hAnsi="Arial" w:cs="Arial"/>
          <w:b/>
          <w:color w:val="auto"/>
          <w:sz w:val="24"/>
          <w:szCs w:val="24"/>
        </w:rPr>
      </w:pPr>
      <w:bookmarkStart w:id="2" w:name="_Toc536694241"/>
      <w:r w:rsidRPr="00F20EE0">
        <w:rPr>
          <w:rFonts w:ascii="Arial" w:hAnsi="Arial" w:cs="Arial"/>
          <w:b/>
          <w:color w:val="auto"/>
          <w:sz w:val="24"/>
          <w:szCs w:val="24"/>
        </w:rPr>
        <w:lastRenderedPageBreak/>
        <w:t>Regras de despesa</w:t>
      </w:r>
      <w:bookmarkEnd w:id="2"/>
    </w:p>
    <w:p w14:paraId="71ACF39A" w14:textId="77777777" w:rsidR="00F0005D" w:rsidRPr="00345115" w:rsidRDefault="00F0005D" w:rsidP="00F0005D">
      <w:pPr>
        <w:pStyle w:val="Default"/>
        <w:rPr>
          <w:rFonts w:ascii="Arial" w:hAnsi="Arial" w:cs="Arial"/>
          <w:b/>
          <w:bCs/>
        </w:rPr>
      </w:pPr>
    </w:p>
    <w:p w14:paraId="698D6DA3" w14:textId="67B6AED3" w:rsidR="00093B7E" w:rsidRPr="00345115" w:rsidRDefault="00F0005D" w:rsidP="001822F9">
      <w:pPr>
        <w:spacing w:line="360" w:lineRule="auto"/>
        <w:ind w:firstLine="708"/>
        <w:jc w:val="both"/>
        <w:rPr>
          <w:rFonts w:ascii="Arial" w:hAnsi="Arial" w:cs="Arial"/>
          <w:sz w:val="24"/>
          <w:szCs w:val="24"/>
        </w:rPr>
      </w:pPr>
      <w:r w:rsidRPr="00345115">
        <w:rPr>
          <w:rFonts w:ascii="Arial" w:hAnsi="Arial" w:cs="Arial"/>
          <w:sz w:val="24"/>
          <w:szCs w:val="24"/>
        </w:rPr>
        <w:t>Verifica-se que o crescimento rápido e prolongado das receitas incentiva os formuladores de políticas a aumentos insustentáveis de gastos ou corte de impostos. Um comportamento insustentável dos gastos pode ser atribuído em parte à miopia das normas e regras orçamentárias que tendem a se concentrar no equilíbrio do orçamento anual.</w:t>
      </w:r>
    </w:p>
    <w:p w14:paraId="38B405B2" w14:textId="70F65418" w:rsidR="00F933D0" w:rsidRPr="00345115" w:rsidRDefault="00F0005D" w:rsidP="001822F9">
      <w:pPr>
        <w:spacing w:line="360" w:lineRule="auto"/>
        <w:ind w:firstLine="708"/>
        <w:jc w:val="both"/>
        <w:rPr>
          <w:rFonts w:ascii="Arial" w:hAnsi="Arial" w:cs="Arial"/>
          <w:sz w:val="24"/>
          <w:szCs w:val="24"/>
        </w:rPr>
      </w:pPr>
      <w:r w:rsidRPr="00345115">
        <w:rPr>
          <w:rFonts w:ascii="Arial" w:hAnsi="Arial" w:cs="Arial"/>
          <w:sz w:val="24"/>
          <w:szCs w:val="24"/>
        </w:rPr>
        <w:t xml:space="preserve">Conforme </w:t>
      </w:r>
      <w:proofErr w:type="spellStart"/>
      <w:r w:rsidRPr="00345115">
        <w:rPr>
          <w:rFonts w:ascii="Arial" w:hAnsi="Arial" w:cs="Arial"/>
          <w:sz w:val="24"/>
          <w:szCs w:val="24"/>
        </w:rPr>
        <w:t>Dothan</w:t>
      </w:r>
      <w:proofErr w:type="spellEnd"/>
      <w:r w:rsidRPr="00345115">
        <w:rPr>
          <w:rFonts w:ascii="Arial" w:hAnsi="Arial" w:cs="Arial"/>
          <w:sz w:val="24"/>
          <w:szCs w:val="24"/>
        </w:rPr>
        <w:t xml:space="preserve"> e Thompson (2009) as regras fiscais menos onerosas e mais eficazes são aquelas que se concentram na taxa de crescimento dos gastos. Como assinala (</w:t>
      </w:r>
      <w:proofErr w:type="spellStart"/>
      <w:r w:rsidRPr="00345115">
        <w:rPr>
          <w:rFonts w:ascii="Arial" w:hAnsi="Arial" w:cs="Arial"/>
          <w:sz w:val="24"/>
          <w:szCs w:val="24"/>
        </w:rPr>
        <w:t>Cordes</w:t>
      </w:r>
      <w:proofErr w:type="spellEnd"/>
      <w:r w:rsidRPr="00345115">
        <w:rPr>
          <w:rFonts w:ascii="Arial" w:hAnsi="Arial" w:cs="Arial"/>
          <w:sz w:val="24"/>
          <w:szCs w:val="24"/>
        </w:rPr>
        <w:t xml:space="preserve"> et al, 2015) pode ser o caso que as regas de despesa sejam adotadas por países com um intrínseco comprometimento com a disciplina fiscal e, por isso, as tentativas de estabelecer causalidade entre instituições e os resultados de políticas é um desafio constante. </w:t>
      </w:r>
    </w:p>
    <w:p w14:paraId="3D2FA38B" w14:textId="26FCC6F7" w:rsidR="00F0005D" w:rsidRPr="00345115" w:rsidRDefault="00F933D0" w:rsidP="001822F9">
      <w:pPr>
        <w:spacing w:line="360" w:lineRule="auto"/>
        <w:ind w:firstLine="708"/>
        <w:jc w:val="both"/>
        <w:rPr>
          <w:rFonts w:ascii="Arial" w:hAnsi="Arial" w:cs="Arial"/>
          <w:sz w:val="24"/>
          <w:szCs w:val="24"/>
        </w:rPr>
      </w:pPr>
      <w:r w:rsidRPr="00345115">
        <w:rPr>
          <w:rFonts w:ascii="Arial" w:hAnsi="Arial" w:cs="Arial"/>
          <w:sz w:val="24"/>
          <w:szCs w:val="24"/>
        </w:rPr>
        <w:t>Na relação entre despesa e dívida</w:t>
      </w:r>
      <w:r w:rsidR="00622819" w:rsidRPr="00345115">
        <w:rPr>
          <w:rFonts w:ascii="Arial" w:hAnsi="Arial" w:cs="Arial"/>
          <w:sz w:val="24"/>
          <w:szCs w:val="24"/>
        </w:rPr>
        <w:t>,</w:t>
      </w:r>
      <w:r w:rsidRPr="00345115">
        <w:rPr>
          <w:rFonts w:ascii="Arial" w:hAnsi="Arial" w:cs="Arial"/>
          <w:sz w:val="24"/>
          <w:szCs w:val="24"/>
        </w:rPr>
        <w:t xml:space="preserve"> (</w:t>
      </w:r>
      <w:r w:rsidR="008D637A" w:rsidRPr="00345115">
        <w:rPr>
          <w:rFonts w:ascii="Arial" w:hAnsi="Arial" w:cs="Arial"/>
          <w:sz w:val="24"/>
          <w:szCs w:val="24"/>
        </w:rPr>
        <w:t>FMI, 2018b</w:t>
      </w:r>
      <w:r w:rsidRPr="00345115">
        <w:rPr>
          <w:rFonts w:ascii="Arial" w:hAnsi="Arial" w:cs="Arial"/>
          <w:sz w:val="24"/>
          <w:szCs w:val="24"/>
        </w:rPr>
        <w:t xml:space="preserve">) defende-se </w:t>
      </w:r>
      <w:r w:rsidR="00FD6CB0" w:rsidRPr="00345115">
        <w:rPr>
          <w:rFonts w:ascii="Arial" w:hAnsi="Arial" w:cs="Arial"/>
          <w:sz w:val="24"/>
          <w:szCs w:val="24"/>
        </w:rPr>
        <w:t>regras de dese</w:t>
      </w:r>
      <w:r w:rsidR="00622819" w:rsidRPr="00345115">
        <w:rPr>
          <w:rFonts w:ascii="Arial" w:hAnsi="Arial" w:cs="Arial"/>
          <w:sz w:val="24"/>
          <w:szCs w:val="24"/>
        </w:rPr>
        <w:t>n</w:t>
      </w:r>
      <w:r w:rsidR="00FD6CB0" w:rsidRPr="00345115">
        <w:rPr>
          <w:rFonts w:ascii="Arial" w:hAnsi="Arial" w:cs="Arial"/>
          <w:sz w:val="24"/>
          <w:szCs w:val="24"/>
        </w:rPr>
        <w:t>ho específica</w:t>
      </w:r>
      <w:r w:rsidR="00622819" w:rsidRPr="00345115">
        <w:rPr>
          <w:rFonts w:ascii="Arial" w:hAnsi="Arial" w:cs="Arial"/>
          <w:sz w:val="24"/>
          <w:szCs w:val="24"/>
        </w:rPr>
        <w:t>s para as despesas, pois regras de despesa que não levam em conta a parte da receita possuem apenas um impacto parcial na dinâmica da dívida. Já regras com desenhos mais sofisticados podem superar esse obstáculo, como a regra de despesa da União Europeia, que permite gastos maiores no caso de elevação de receitas (discricionárias).</w:t>
      </w:r>
    </w:p>
    <w:p w14:paraId="4B2C9D52" w14:textId="408CA87E" w:rsidR="00F0005D" w:rsidRPr="00345115" w:rsidRDefault="00F0005D" w:rsidP="00345115">
      <w:pPr>
        <w:spacing w:line="360" w:lineRule="auto"/>
        <w:ind w:firstLine="708"/>
        <w:jc w:val="both"/>
        <w:rPr>
          <w:rFonts w:ascii="Arial" w:hAnsi="Arial" w:cs="Arial"/>
          <w:sz w:val="24"/>
          <w:szCs w:val="24"/>
        </w:rPr>
      </w:pPr>
      <w:r w:rsidRPr="00345115">
        <w:rPr>
          <w:rFonts w:ascii="Arial" w:hAnsi="Arial" w:cs="Arial"/>
          <w:sz w:val="24"/>
          <w:szCs w:val="24"/>
        </w:rPr>
        <w:t>Já para Serritzlew (2005), o objetivo de uma regra de despesas é limitá-las já no início do processo orçamentário mediante a aprovação de um limite máximo, em vez de permitir que o orçamento total seja a soma das intenções. No entanto, esta é considerada uma solução comum para um grande problema, e, de acordo com o autor há pouco conhecimento disponível sobre o efeito das regras de limites de gastos.</w:t>
      </w:r>
      <w:r w:rsidR="008D637A" w:rsidRPr="00345115">
        <w:rPr>
          <w:rFonts w:ascii="Arial" w:hAnsi="Arial" w:cs="Arial"/>
          <w:sz w:val="24"/>
          <w:szCs w:val="24"/>
        </w:rPr>
        <w:t xml:space="preserve"> </w:t>
      </w:r>
      <w:r w:rsidRPr="00345115">
        <w:rPr>
          <w:rFonts w:ascii="Arial" w:hAnsi="Arial" w:cs="Arial"/>
          <w:sz w:val="24"/>
          <w:szCs w:val="24"/>
        </w:rPr>
        <w:t>Por sua vez, as regras de despesa estão associadas a uma maior eficiência do investimento público. (</w:t>
      </w:r>
      <w:proofErr w:type="spellStart"/>
      <w:r w:rsidRPr="00345115">
        <w:rPr>
          <w:rFonts w:ascii="Arial" w:hAnsi="Arial" w:cs="Arial"/>
          <w:sz w:val="24"/>
          <w:szCs w:val="24"/>
        </w:rPr>
        <w:t>Cordes</w:t>
      </w:r>
      <w:proofErr w:type="spellEnd"/>
      <w:r w:rsidRPr="00345115">
        <w:rPr>
          <w:rFonts w:ascii="Arial" w:hAnsi="Arial" w:cs="Arial"/>
          <w:sz w:val="24"/>
          <w:szCs w:val="24"/>
        </w:rPr>
        <w:t xml:space="preserve"> </w:t>
      </w:r>
      <w:proofErr w:type="spellStart"/>
      <w:r w:rsidRPr="00345115">
        <w:rPr>
          <w:rFonts w:ascii="Arial" w:hAnsi="Arial" w:cs="Arial"/>
          <w:sz w:val="24"/>
          <w:szCs w:val="24"/>
        </w:rPr>
        <w:t>at</w:t>
      </w:r>
      <w:proofErr w:type="spellEnd"/>
      <w:r w:rsidRPr="00345115">
        <w:rPr>
          <w:rFonts w:ascii="Arial" w:hAnsi="Arial" w:cs="Arial"/>
          <w:sz w:val="24"/>
          <w:szCs w:val="24"/>
        </w:rPr>
        <w:t xml:space="preserve"> al, 2015)</w:t>
      </w:r>
      <w:r w:rsidR="00B36F9C" w:rsidRPr="00345115">
        <w:rPr>
          <w:rFonts w:ascii="Arial" w:hAnsi="Arial" w:cs="Arial"/>
          <w:sz w:val="24"/>
          <w:szCs w:val="24"/>
        </w:rPr>
        <w:t>.</w:t>
      </w:r>
    </w:p>
    <w:p w14:paraId="2A59C555" w14:textId="42BBF7EB" w:rsidR="00815392" w:rsidRPr="00345115" w:rsidRDefault="00B36F9C" w:rsidP="00345115">
      <w:pPr>
        <w:spacing w:line="360" w:lineRule="auto"/>
        <w:ind w:firstLine="708"/>
        <w:jc w:val="both"/>
        <w:rPr>
          <w:rFonts w:ascii="Arial" w:hAnsi="Arial" w:cs="Arial"/>
          <w:sz w:val="24"/>
          <w:szCs w:val="24"/>
        </w:rPr>
      </w:pPr>
      <w:r w:rsidRPr="00345115">
        <w:rPr>
          <w:rFonts w:ascii="Arial" w:hAnsi="Arial" w:cs="Arial"/>
          <w:sz w:val="24"/>
          <w:szCs w:val="24"/>
        </w:rPr>
        <w:t xml:space="preserve">Por sua vez, as regras de receita são utilizadas para estabelecer pisos ou tetos ao rendimento do governo e são menos observáveis em comparação a outros tipos de regras (FMI, 2018b). Pisos de receita como aqueles impostos </w:t>
      </w:r>
      <w:proofErr w:type="spellStart"/>
      <w:r w:rsidRPr="00345115">
        <w:rPr>
          <w:rFonts w:ascii="Arial" w:hAnsi="Arial" w:cs="Arial"/>
          <w:sz w:val="24"/>
          <w:szCs w:val="24"/>
        </w:rPr>
        <w:t>supranacionalmente</w:t>
      </w:r>
      <w:proofErr w:type="spellEnd"/>
      <w:r w:rsidRPr="00345115">
        <w:rPr>
          <w:rFonts w:ascii="Arial" w:hAnsi="Arial" w:cs="Arial"/>
          <w:sz w:val="24"/>
          <w:szCs w:val="24"/>
        </w:rPr>
        <w:t>, como em países pertencentes à União Europeia ou nacionalmente, como no caso do Quênia, geralmente visam aumentar a arrecadação de receita. Os tetos de receita buscam evitar uma carga tributária excessiva, conforme ilustrado pelas experiências da Austrália e da Dinamarca.</w:t>
      </w:r>
    </w:p>
    <w:p w14:paraId="3D887ED9" w14:textId="1BA388CD" w:rsidR="00815392" w:rsidRPr="00345115" w:rsidRDefault="00815392" w:rsidP="00345115">
      <w:pPr>
        <w:spacing w:line="360" w:lineRule="auto"/>
        <w:ind w:firstLine="708"/>
        <w:jc w:val="both"/>
        <w:rPr>
          <w:rFonts w:ascii="Arial" w:hAnsi="Arial" w:cs="Arial"/>
          <w:sz w:val="24"/>
          <w:szCs w:val="24"/>
        </w:rPr>
      </w:pPr>
      <w:r w:rsidRPr="00345115">
        <w:rPr>
          <w:rFonts w:ascii="Arial" w:hAnsi="Arial" w:cs="Arial"/>
          <w:sz w:val="24"/>
          <w:szCs w:val="24"/>
        </w:rPr>
        <w:lastRenderedPageBreak/>
        <w:t>As regras de balanço orçamentário, impõem limites ao saldo fiscal</w:t>
      </w:r>
      <w:r w:rsidR="000B5EF5" w:rsidRPr="00345115">
        <w:rPr>
          <w:rFonts w:ascii="Arial" w:hAnsi="Arial" w:cs="Arial"/>
          <w:sz w:val="24"/>
          <w:szCs w:val="24"/>
        </w:rPr>
        <w:t xml:space="preserve"> </w:t>
      </w:r>
      <w:r w:rsidRPr="00345115">
        <w:rPr>
          <w:rFonts w:ascii="Arial" w:hAnsi="Arial" w:cs="Arial"/>
          <w:sz w:val="24"/>
          <w:szCs w:val="24"/>
        </w:rPr>
        <w:t>e</w:t>
      </w:r>
      <w:r w:rsidR="000B5EF5" w:rsidRPr="00345115">
        <w:rPr>
          <w:rFonts w:ascii="Arial" w:hAnsi="Arial" w:cs="Arial"/>
          <w:sz w:val="24"/>
          <w:szCs w:val="24"/>
        </w:rPr>
        <w:t>,</w:t>
      </w:r>
      <w:r w:rsidRPr="00345115">
        <w:rPr>
          <w:rFonts w:ascii="Arial" w:hAnsi="Arial" w:cs="Arial"/>
          <w:sz w:val="24"/>
          <w:szCs w:val="24"/>
        </w:rPr>
        <w:t xml:space="preserve"> </w:t>
      </w:r>
      <w:r w:rsidR="000B5EF5" w:rsidRPr="00345115">
        <w:rPr>
          <w:rFonts w:ascii="Arial" w:hAnsi="Arial" w:cs="Arial"/>
          <w:sz w:val="24"/>
          <w:szCs w:val="24"/>
        </w:rPr>
        <w:t xml:space="preserve">por </w:t>
      </w:r>
      <w:r w:rsidRPr="00345115">
        <w:rPr>
          <w:rFonts w:ascii="Arial" w:hAnsi="Arial" w:cs="Arial"/>
          <w:sz w:val="24"/>
          <w:szCs w:val="24"/>
        </w:rPr>
        <w:t>est</w:t>
      </w:r>
      <w:r w:rsidR="000B5EF5" w:rsidRPr="00345115">
        <w:rPr>
          <w:rFonts w:ascii="Arial" w:hAnsi="Arial" w:cs="Arial"/>
          <w:sz w:val="24"/>
          <w:szCs w:val="24"/>
        </w:rPr>
        <w:t>ar</w:t>
      </w:r>
      <w:r w:rsidRPr="00345115">
        <w:rPr>
          <w:rFonts w:ascii="Arial" w:hAnsi="Arial" w:cs="Arial"/>
          <w:sz w:val="24"/>
          <w:szCs w:val="24"/>
        </w:rPr>
        <w:t xml:space="preserve"> diretamente </w:t>
      </w:r>
      <w:r w:rsidR="000B5EF5" w:rsidRPr="00345115">
        <w:rPr>
          <w:rFonts w:ascii="Arial" w:hAnsi="Arial" w:cs="Arial"/>
          <w:sz w:val="24"/>
          <w:szCs w:val="24"/>
        </w:rPr>
        <w:t xml:space="preserve">ligada a dinâmica da dívida, é considerada um eficaz instrumento na preservação da sustentabilidade da dívida. Por seu turno, as regras de balanço orçamentária ajustadas ao ciclo possuem uma maior capacidade de promover a estabilização macroeconômica. </w:t>
      </w:r>
    </w:p>
    <w:p w14:paraId="099C3386" w14:textId="77777777" w:rsidR="00F0005D" w:rsidRPr="00F20EE0" w:rsidRDefault="00F0005D" w:rsidP="00882B94">
      <w:pPr>
        <w:pStyle w:val="Ttulo2"/>
        <w:numPr>
          <w:ilvl w:val="1"/>
          <w:numId w:val="1"/>
        </w:numPr>
        <w:rPr>
          <w:rFonts w:ascii="Arial" w:hAnsi="Arial" w:cs="Arial"/>
          <w:b/>
          <w:color w:val="auto"/>
          <w:sz w:val="24"/>
          <w:szCs w:val="24"/>
        </w:rPr>
      </w:pPr>
      <w:bookmarkStart w:id="3" w:name="_Toc536694242"/>
      <w:r w:rsidRPr="00F20EE0">
        <w:rPr>
          <w:rFonts w:ascii="Arial" w:hAnsi="Arial" w:cs="Arial"/>
          <w:b/>
          <w:color w:val="auto"/>
          <w:sz w:val="24"/>
          <w:szCs w:val="24"/>
        </w:rPr>
        <w:t>Regras Fiscais – Experiência Brasileira</w:t>
      </w:r>
      <w:bookmarkEnd w:id="3"/>
    </w:p>
    <w:p w14:paraId="48716243" w14:textId="77777777" w:rsidR="00F0005D" w:rsidRPr="00345115" w:rsidRDefault="00F0005D" w:rsidP="00F0005D">
      <w:pPr>
        <w:pStyle w:val="Default"/>
        <w:rPr>
          <w:rFonts w:ascii="Arial" w:hAnsi="Arial" w:cs="Arial"/>
          <w:b/>
          <w:bCs/>
        </w:rPr>
      </w:pPr>
    </w:p>
    <w:p w14:paraId="40D3823A" w14:textId="445FD12F" w:rsidR="00F0005D" w:rsidRPr="00345115" w:rsidRDefault="00F0005D" w:rsidP="001822F9">
      <w:pPr>
        <w:spacing w:line="360" w:lineRule="auto"/>
        <w:ind w:firstLine="708"/>
        <w:jc w:val="both"/>
        <w:rPr>
          <w:rFonts w:ascii="Arial" w:hAnsi="Arial" w:cs="Arial"/>
          <w:sz w:val="24"/>
          <w:szCs w:val="24"/>
        </w:rPr>
      </w:pPr>
      <w:r w:rsidRPr="00345115">
        <w:rPr>
          <w:rFonts w:ascii="Arial" w:hAnsi="Arial" w:cs="Arial"/>
          <w:sz w:val="24"/>
          <w:szCs w:val="24"/>
        </w:rPr>
        <w:t xml:space="preserve">Na experiência internacional a adoção de regras fiscais se alargou ao longo da década de </w:t>
      </w:r>
      <w:r w:rsidR="00472AF0" w:rsidRPr="00345115">
        <w:rPr>
          <w:rFonts w:ascii="Arial" w:hAnsi="Arial" w:cs="Arial"/>
          <w:sz w:val="24"/>
          <w:szCs w:val="24"/>
        </w:rPr>
        <w:t>19</w:t>
      </w:r>
      <w:r w:rsidRPr="00345115">
        <w:rPr>
          <w:rFonts w:ascii="Arial" w:hAnsi="Arial" w:cs="Arial"/>
          <w:sz w:val="24"/>
          <w:szCs w:val="24"/>
        </w:rPr>
        <w:t>90 e se aprofundou nos anos 2000, passando por um período de crise e renovação após a crise financeira de 2008 (FMI, 2018c). No Brasil, a utilização da regra de resultado orçamentário (superávit primário), se deu no contexto do Novo Consenso Macroeconômico e do tripé econômico defendido por este referencial teórico (câmbio flutuante, metas para inflação e meta de superávit), a partir de 1999. A Lei Complementar nº 1</w:t>
      </w:r>
      <w:r w:rsidR="00472AF0" w:rsidRPr="00345115">
        <w:rPr>
          <w:rFonts w:ascii="Arial" w:hAnsi="Arial" w:cs="Arial"/>
          <w:sz w:val="24"/>
          <w:szCs w:val="24"/>
        </w:rPr>
        <w:t>0</w:t>
      </w:r>
      <w:r w:rsidRPr="00345115">
        <w:rPr>
          <w:rFonts w:ascii="Arial" w:hAnsi="Arial" w:cs="Arial"/>
          <w:sz w:val="24"/>
          <w:szCs w:val="24"/>
        </w:rPr>
        <w:t xml:space="preserve">1/200, Lei de Responsabilidade Fiscal, por sua vez, estabelece regras fiscais de “procedimento” voltadas à disciplina fiscal e à consolidação fiscal, como os limites de despesa com pessoas como porcentagem da receita corrente líquida. </w:t>
      </w:r>
    </w:p>
    <w:p w14:paraId="2D36EB17" w14:textId="46C631B8" w:rsidR="00F0005D" w:rsidRPr="00345115" w:rsidRDefault="00F0005D" w:rsidP="001822F9">
      <w:pPr>
        <w:spacing w:line="360" w:lineRule="auto"/>
        <w:ind w:firstLine="708"/>
        <w:jc w:val="both"/>
        <w:rPr>
          <w:rFonts w:ascii="Arial" w:hAnsi="Arial" w:cs="Arial"/>
          <w:sz w:val="24"/>
          <w:szCs w:val="24"/>
        </w:rPr>
      </w:pPr>
      <w:r w:rsidRPr="00345115">
        <w:rPr>
          <w:rFonts w:ascii="Arial" w:hAnsi="Arial" w:cs="Arial"/>
          <w:sz w:val="24"/>
          <w:szCs w:val="24"/>
        </w:rPr>
        <w:t xml:space="preserve">A regra de despesa, conhecida como Teto dos Gastos, foi introduzida no arcabouço fiscal brasileiro por meio da Emenda Constitucional nº 95/2016, e tem como objetivo disciplinar o crescimento das despesas públicas em termos do índice de inflação, por um período de 20 anos. </w:t>
      </w:r>
    </w:p>
    <w:p w14:paraId="6DEDFE3B" w14:textId="6F84E86A" w:rsidR="00772E99" w:rsidRPr="00F20EE0" w:rsidRDefault="00772E99" w:rsidP="00772E99">
      <w:pPr>
        <w:pStyle w:val="Ttulo1"/>
        <w:numPr>
          <w:ilvl w:val="0"/>
          <w:numId w:val="1"/>
        </w:numPr>
        <w:rPr>
          <w:rFonts w:ascii="Arial" w:hAnsi="Arial" w:cs="Arial"/>
          <w:b/>
          <w:bCs/>
          <w:color w:val="auto"/>
          <w:sz w:val="24"/>
          <w:szCs w:val="24"/>
        </w:rPr>
      </w:pPr>
      <w:r w:rsidRPr="00F20EE0">
        <w:rPr>
          <w:rFonts w:ascii="Arial" w:hAnsi="Arial" w:cs="Arial"/>
          <w:b/>
          <w:bCs/>
          <w:color w:val="auto"/>
          <w:sz w:val="24"/>
          <w:szCs w:val="24"/>
        </w:rPr>
        <w:t>METODOLOGIA</w:t>
      </w:r>
    </w:p>
    <w:p w14:paraId="2EE58D73" w14:textId="6D65D611" w:rsidR="00F0005D" w:rsidRDefault="00F0005D" w:rsidP="00F0005D">
      <w:pPr>
        <w:pStyle w:val="Default"/>
        <w:rPr>
          <w:rFonts w:ascii="Arial" w:hAnsi="Arial" w:cs="Arial"/>
          <w:b/>
          <w:bCs/>
        </w:rPr>
      </w:pPr>
    </w:p>
    <w:p w14:paraId="76D240EF" w14:textId="60585117" w:rsidR="00B406F3" w:rsidRDefault="00B406F3" w:rsidP="00F0005D">
      <w:pPr>
        <w:pStyle w:val="Default"/>
        <w:rPr>
          <w:rFonts w:ascii="Arial" w:hAnsi="Arial" w:cs="Arial"/>
          <w:b/>
          <w:bCs/>
        </w:rPr>
      </w:pPr>
      <w:r>
        <w:rPr>
          <w:rFonts w:ascii="Arial" w:hAnsi="Arial" w:cs="Arial"/>
          <w:b/>
          <w:bCs/>
        </w:rPr>
        <w:t>3.1 Sustentabilidade da dívida pública</w:t>
      </w:r>
    </w:p>
    <w:p w14:paraId="372BC496" w14:textId="175C972B" w:rsidR="00B406F3" w:rsidRDefault="00B406F3" w:rsidP="00F0005D">
      <w:pPr>
        <w:pStyle w:val="Default"/>
        <w:rPr>
          <w:rFonts w:ascii="Arial" w:hAnsi="Arial" w:cs="Arial"/>
          <w:b/>
          <w:bCs/>
        </w:rPr>
      </w:pPr>
    </w:p>
    <w:p w14:paraId="291FFDAC" w14:textId="77777777" w:rsidR="00B406F3" w:rsidRPr="00E92CA0" w:rsidRDefault="00B406F3" w:rsidP="00503090">
      <w:pPr>
        <w:spacing w:after="0" w:line="360" w:lineRule="auto"/>
        <w:contextualSpacing/>
        <w:jc w:val="both"/>
        <w:rPr>
          <w:rFonts w:ascii="Arial" w:hAnsi="Arial" w:cs="Arial"/>
          <w:sz w:val="24"/>
          <w:szCs w:val="24"/>
        </w:rPr>
      </w:pPr>
      <w:r w:rsidRPr="00E92CA0">
        <w:rPr>
          <w:rFonts w:ascii="Arial" w:hAnsi="Arial" w:cs="Arial"/>
          <w:sz w:val="24"/>
          <w:szCs w:val="24"/>
        </w:rPr>
        <w:t xml:space="preserve">Testes de sustentabilidade </w:t>
      </w:r>
      <w:r>
        <w:rPr>
          <w:rFonts w:ascii="Arial" w:hAnsi="Arial" w:cs="Arial"/>
          <w:sz w:val="24"/>
          <w:szCs w:val="24"/>
        </w:rPr>
        <w:t>da dívida pública</w:t>
      </w:r>
      <w:r w:rsidRPr="00E92CA0">
        <w:rPr>
          <w:rFonts w:ascii="Arial" w:hAnsi="Arial" w:cs="Arial"/>
          <w:sz w:val="24"/>
          <w:szCs w:val="24"/>
        </w:rPr>
        <w:t xml:space="preserve"> são baseados na restrição orçamentária intertemporal do governo em sua forma de valor presente. Isto é, a sustentabilidade fiscal exige que o orçamento do governo seja equilibrado </w:t>
      </w:r>
      <w:proofErr w:type="spellStart"/>
      <w:r w:rsidRPr="00E92CA0">
        <w:rPr>
          <w:rFonts w:ascii="Arial" w:hAnsi="Arial" w:cs="Arial"/>
          <w:sz w:val="24"/>
          <w:szCs w:val="24"/>
        </w:rPr>
        <w:t>intertemporalmente</w:t>
      </w:r>
      <w:proofErr w:type="spellEnd"/>
      <w:r w:rsidRPr="00E92CA0">
        <w:rPr>
          <w:rFonts w:ascii="Arial" w:hAnsi="Arial" w:cs="Arial"/>
          <w:sz w:val="24"/>
          <w:szCs w:val="24"/>
        </w:rPr>
        <w:t>. Uma breve explicação de uma estrutura formal para derivar as condições suficientes para sustentabilidade é dada a seguir baseada em Quintos (1995). O ponto de partida é a seguinte restrição orçamentária de um período:</w:t>
      </w:r>
    </w:p>
    <w:p w14:paraId="4B537850" w14:textId="77777777" w:rsidR="00B406F3" w:rsidRPr="00AD6906" w:rsidRDefault="00452EE8" w:rsidP="00B406F3">
      <w:pPr>
        <w:spacing w:line="480" w:lineRule="auto"/>
        <w:contextualSpacing/>
        <w:jc w:val="both"/>
        <w:rPr>
          <w:rFonts w:ascii="Arial" w:hAnsi="Arial" w:cs="Arial"/>
          <w:sz w:val="24"/>
          <w:szCs w:val="24"/>
        </w:rPr>
      </w:pPr>
      <m:oMathPara>
        <m:oMath>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it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it-1</m:t>
              </m:r>
            </m:sub>
          </m:sSub>
          <m:d>
            <m:dPr>
              <m:ctrlPr>
                <w:rPr>
                  <w:rFonts w:ascii="Cambria Math" w:hAnsi="Cambria Math"/>
                  <w:i/>
                  <w:sz w:val="24"/>
                  <w:szCs w:val="24"/>
                </w:rPr>
              </m:ctrlPr>
            </m:dPr>
            <m:e>
              <m:r>
                <w:rPr>
                  <w:rFonts w:ascii="Cambria Math" w:hAnsi="Cambria Math"/>
                  <w:sz w:val="24"/>
                  <w:szCs w:val="24"/>
                </w:rPr>
                <m:t>1+r</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G</m:t>
              </m:r>
            </m:e>
            <m:sub>
              <m:r>
                <w:rPr>
                  <w:rFonts w:ascii="Cambria Math" w:hAnsi="Cambria Math"/>
                  <w:sz w:val="24"/>
                  <w:szCs w:val="24"/>
                </w:rPr>
                <m:t>it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it</m:t>
              </m:r>
            </m:sub>
          </m:sSub>
          <m:r>
            <w:rPr>
              <w:rFonts w:ascii="Cambria Math" w:hAnsi="Cambria Math"/>
              <w:sz w:val="24"/>
              <w:szCs w:val="24"/>
            </w:rPr>
            <m:t xml:space="preserve">                        </m:t>
          </m:r>
          <m:d>
            <m:dPr>
              <m:ctrlPr>
                <w:rPr>
                  <w:rFonts w:ascii="Cambria Math" w:hAnsi="Cambria Math"/>
                  <w:i/>
                  <w:sz w:val="24"/>
                  <w:szCs w:val="24"/>
                </w:rPr>
              </m:ctrlPr>
            </m:dPr>
            <m:e>
              <m:r>
                <w:rPr>
                  <w:rFonts w:ascii="Cambria Math" w:hAnsi="Cambria Math"/>
                  <w:sz w:val="24"/>
                  <w:szCs w:val="24"/>
                </w:rPr>
                <m:t>1</m:t>
              </m:r>
            </m:e>
          </m:d>
        </m:oMath>
      </m:oMathPara>
    </w:p>
    <w:p w14:paraId="5C3B842E" w14:textId="77777777" w:rsidR="00B406F3" w:rsidRPr="00E92CA0" w:rsidRDefault="00B406F3" w:rsidP="00503090">
      <w:pPr>
        <w:spacing w:line="360" w:lineRule="auto"/>
        <w:contextualSpacing/>
        <w:jc w:val="both"/>
        <w:rPr>
          <w:rFonts w:ascii="Arial" w:hAnsi="Arial" w:cs="Arial"/>
          <w:sz w:val="24"/>
          <w:szCs w:val="24"/>
        </w:rPr>
      </w:pPr>
      <w:r w:rsidRPr="00E92CA0">
        <w:rPr>
          <w:rFonts w:ascii="Arial" w:hAnsi="Arial" w:cs="Arial"/>
          <w:sz w:val="24"/>
          <w:szCs w:val="24"/>
        </w:rPr>
        <w:lastRenderedPageBreak/>
        <w:t xml:space="preserve">Em que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it</m:t>
            </m:r>
          </m:sub>
        </m:sSub>
      </m:oMath>
      <w:r w:rsidRPr="00E92CA0">
        <w:rPr>
          <w:rFonts w:ascii="Arial" w:hAnsi="Arial" w:cs="Arial"/>
          <w:sz w:val="24"/>
          <w:szCs w:val="24"/>
        </w:rPr>
        <w:t xml:space="preserve"> é a receita governamental para a </w:t>
      </w:r>
      <w:r w:rsidRPr="00E92CA0">
        <w:rPr>
          <w:rFonts w:ascii="Arial" w:hAnsi="Arial" w:cs="Arial"/>
          <w:i/>
          <w:sz w:val="24"/>
          <w:szCs w:val="24"/>
        </w:rPr>
        <w:t>i</w:t>
      </w:r>
      <w:r w:rsidRPr="00E92CA0">
        <w:rPr>
          <w:rFonts w:ascii="Arial" w:hAnsi="Arial" w:cs="Arial"/>
          <w:sz w:val="24"/>
          <w:szCs w:val="24"/>
        </w:rPr>
        <w:t xml:space="preserve">-ésima unidade </w:t>
      </w:r>
      <w:r w:rsidRPr="00E92CA0">
        <w:rPr>
          <w:rFonts w:ascii="Arial" w:hAnsi="Arial" w:cs="Arial"/>
          <w:i/>
          <w:sz w:val="24"/>
          <w:szCs w:val="24"/>
        </w:rPr>
        <w:t>cross-section</w:t>
      </w:r>
      <w:r w:rsidRPr="00E92CA0">
        <w:rPr>
          <w:rFonts w:ascii="Arial" w:hAnsi="Arial" w:cs="Arial"/>
          <w:sz w:val="24"/>
          <w:szCs w:val="24"/>
        </w:rPr>
        <w:t xml:space="preserve"> no período </w:t>
      </w:r>
      <w:r w:rsidRPr="00E92CA0">
        <w:rPr>
          <w:rFonts w:ascii="Arial" w:hAnsi="Arial" w:cs="Arial"/>
          <w:i/>
          <w:sz w:val="24"/>
          <w:szCs w:val="24"/>
        </w:rPr>
        <w:t>t</w:t>
      </w:r>
      <w:r w:rsidRPr="00E92CA0">
        <w:rPr>
          <w:rFonts w:ascii="Arial" w:hAnsi="Arial" w:cs="Arial"/>
          <w:sz w:val="24"/>
          <w:szCs w:val="24"/>
        </w:rPr>
        <w:t xml:space="preserve">; </w:t>
      </w:r>
      <m:oMath>
        <m:sSub>
          <m:sSubPr>
            <m:ctrlPr>
              <w:rPr>
                <w:rFonts w:ascii="Cambria Math" w:hAnsi="Cambria Math"/>
                <w:i/>
                <w:sz w:val="24"/>
                <w:szCs w:val="24"/>
              </w:rPr>
            </m:ctrlPr>
          </m:sSubPr>
          <m:e>
            <m:r>
              <w:rPr>
                <w:rFonts w:ascii="Cambria Math" w:hAnsi="Cambria Math"/>
                <w:sz w:val="24"/>
                <w:szCs w:val="24"/>
              </w:rPr>
              <m:t>G</m:t>
            </m:r>
          </m:e>
          <m:sub>
            <m:r>
              <w:rPr>
                <w:rFonts w:ascii="Cambria Math" w:hAnsi="Cambria Math"/>
                <w:sz w:val="24"/>
                <w:szCs w:val="24"/>
              </w:rPr>
              <m:t>it</m:t>
            </m:r>
          </m:sub>
        </m:sSub>
      </m:oMath>
      <w:r w:rsidRPr="00E92CA0">
        <w:rPr>
          <w:rFonts w:ascii="Arial" w:hAnsi="Arial" w:cs="Arial"/>
          <w:sz w:val="24"/>
          <w:szCs w:val="24"/>
        </w:rPr>
        <w:t xml:space="preserve"> é o gasto governamental; </w:t>
      </w:r>
      <m:oMath>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it</m:t>
            </m:r>
          </m:sub>
        </m:sSub>
      </m:oMath>
      <w:r w:rsidRPr="00E92CA0">
        <w:rPr>
          <w:rFonts w:ascii="Arial" w:hAnsi="Arial" w:cs="Arial"/>
          <w:sz w:val="24"/>
          <w:szCs w:val="24"/>
        </w:rPr>
        <w:t xml:space="preserve"> é o estoque de dívida pública; e </w:t>
      </w:r>
      <m:oMath>
        <m:r>
          <w:rPr>
            <w:rFonts w:ascii="Cambria Math" w:hAnsi="Cambria Math"/>
            <w:sz w:val="24"/>
            <w:szCs w:val="24"/>
          </w:rPr>
          <m:t>r</m:t>
        </m:r>
      </m:oMath>
      <w:r w:rsidRPr="00E92CA0">
        <w:rPr>
          <w:rFonts w:ascii="Arial" w:hAnsi="Arial" w:cs="Arial"/>
          <w:sz w:val="24"/>
          <w:szCs w:val="24"/>
        </w:rPr>
        <w:t xml:space="preserve"> é a média da taxa real de juros da dívida,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it</m:t>
            </m:r>
          </m:sub>
        </m:sSub>
      </m:oMath>
      <w:r w:rsidRPr="00E92CA0">
        <w:rPr>
          <w:rFonts w:ascii="Arial" w:hAnsi="Arial" w:cs="Arial"/>
          <w:sz w:val="24"/>
          <w:szCs w:val="24"/>
        </w:rPr>
        <w:t>. Por meio de substituição recursiva, e em seguida tomando as primeiras diferenças, a equação (1) se torna:</w:t>
      </w:r>
    </w:p>
    <w:p w14:paraId="724AC0DC" w14:textId="35D34CF6" w:rsidR="00B406F3" w:rsidRPr="008262C9" w:rsidRDefault="00B406F3" w:rsidP="00B406F3">
      <w:pPr>
        <w:spacing w:line="480" w:lineRule="auto"/>
        <w:contextualSpacing/>
        <w:jc w:val="both"/>
        <w:rPr>
          <w:rFonts w:ascii="Arial" w:hAnsi="Arial" w:cs="Arial"/>
          <w:sz w:val="24"/>
          <w:szCs w:val="24"/>
        </w:rPr>
      </w:pPr>
      <m:oMathPara>
        <m:oMathParaPr>
          <m:jc m:val="left"/>
        </m:oMathParaPr>
        <m:oMath>
          <m:r>
            <m:rPr>
              <m:sty m:val="p"/>
            </m:rPr>
            <w:rPr>
              <w:rFonts w:ascii="Cambria Math" w:hAnsi="Cambria Math"/>
              <w:sz w:val="24"/>
              <w:szCs w:val="24"/>
            </w:rPr>
            <m:t>Δ</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it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G</m:t>
              </m:r>
            </m:e>
            <m:sub>
              <m:r>
                <w:rPr>
                  <w:rFonts w:ascii="Cambria Math" w:hAnsi="Cambria Math"/>
                  <w:sz w:val="24"/>
                  <w:szCs w:val="24"/>
                </w:rPr>
                <m:t>it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it</m:t>
              </m:r>
            </m:sub>
          </m:sSub>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s=0</m:t>
              </m:r>
            </m:sub>
            <m:sup>
              <m:r>
                <w:rPr>
                  <w:rFonts w:ascii="Cambria Math" w:hAnsi="Cambria Math"/>
                  <w:sz w:val="24"/>
                  <w:szCs w:val="24"/>
                </w:rPr>
                <m:t>∞</m:t>
              </m:r>
            </m:sup>
            <m:e>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1+r</m:t>
                          </m:r>
                        </m:den>
                      </m:f>
                    </m:e>
                  </m:d>
                </m:e>
                <m:sup>
                  <m:r>
                    <w:rPr>
                      <w:rFonts w:ascii="Cambria Math" w:hAnsi="Cambria Math"/>
                      <w:sz w:val="24"/>
                      <w:szCs w:val="24"/>
                    </w:rPr>
                    <m:t>s+1</m:t>
                  </m:r>
                </m:sup>
              </m:sSup>
              <m:r>
                <w:rPr>
                  <w:rFonts w:ascii="Cambria Math" w:hAnsi="Cambria Math"/>
                  <w:sz w:val="24"/>
                  <w:szCs w:val="24"/>
                </w:rPr>
                <m:t>×</m:t>
              </m:r>
              <m:d>
                <m:dPr>
                  <m:begChr m:val="["/>
                  <m:endChr m:val="]"/>
                  <m:ctrlPr>
                    <w:rPr>
                      <w:rFonts w:ascii="Cambria Math" w:hAnsi="Cambria Math"/>
                      <w:i/>
                      <w:sz w:val="24"/>
                      <w:szCs w:val="24"/>
                    </w:rPr>
                  </m:ctrlPr>
                </m:dPr>
                <m:e>
                  <m:d>
                    <m:dPr>
                      <m:ctrlPr>
                        <w:rPr>
                          <w:rFonts w:ascii="Cambria Math" w:hAnsi="Cambria Math"/>
                          <w:i/>
                          <w:sz w:val="24"/>
                          <w:szCs w:val="24"/>
                        </w:rPr>
                      </m:ctrlPr>
                    </m:dPr>
                    <m:e>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it+s</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G</m:t>
                          </m:r>
                        </m:e>
                        <m:sub>
                          <m:r>
                            <w:rPr>
                              <w:rFonts w:ascii="Cambria Math" w:hAnsi="Cambria Math"/>
                              <w:sz w:val="24"/>
                              <w:szCs w:val="24"/>
                            </w:rPr>
                            <m:t>it+s</m:t>
                          </m:r>
                        </m:sub>
                      </m:sSub>
                    </m:e>
                  </m:d>
                  <m:r>
                    <w:rPr>
                      <w:rFonts w:ascii="Cambria Math" w:hAnsi="Cambria Math"/>
                      <w:sz w:val="24"/>
                      <w:szCs w:val="24"/>
                    </w:rPr>
                    <m:t>-∆</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it+s</m:t>
                          </m:r>
                        </m:sub>
                      </m:sSub>
                      <m:r>
                        <w:rPr>
                          <w:rFonts w:ascii="Cambria Math" w:hAnsi="Cambria Math"/>
                          <w:sz w:val="24"/>
                          <w:szCs w:val="24"/>
                        </w:rPr>
                        <m:t>-r</m:t>
                      </m:r>
                    </m:e>
                  </m:d>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it+s-1</m:t>
                      </m:r>
                    </m:sub>
                  </m:sSub>
                </m:e>
              </m:d>
            </m:e>
          </m:nary>
          <m:r>
            <w:rPr>
              <w:rFonts w:ascii="Cambria Math" w:hAnsi="Cambria Math"/>
              <w:sz w:val="24"/>
              <w:szCs w:val="24"/>
            </w:rPr>
            <m:t>+</m:t>
          </m:r>
          <m:func>
            <m:funcPr>
              <m:ctrlPr>
                <w:rPr>
                  <w:rFonts w:ascii="Cambria Math" w:hAnsi="Cambria Math"/>
                  <w:i/>
                  <w:sz w:val="24"/>
                  <w:szCs w:val="24"/>
                </w:rPr>
              </m:ctrlPr>
            </m:funcPr>
            <m:fName>
              <m:limLow>
                <m:limLowPr>
                  <m:ctrlPr>
                    <w:rPr>
                      <w:rFonts w:ascii="Cambria Math" w:hAnsi="Cambria Math"/>
                      <w:i/>
                      <w:sz w:val="24"/>
                      <w:szCs w:val="24"/>
                    </w:rPr>
                  </m:ctrlPr>
                </m:limLowPr>
                <m:e>
                  <m:r>
                    <m:rPr>
                      <m:sty m:val="p"/>
                    </m:rPr>
                    <w:rPr>
                      <w:rFonts w:ascii="Cambria Math" w:hAnsi="Cambria Math"/>
                      <w:sz w:val="24"/>
                      <w:szCs w:val="24"/>
                    </w:rPr>
                    <m:t>lim</m:t>
                  </m:r>
                </m:e>
                <m:lim>
                  <m:r>
                    <w:rPr>
                      <w:rFonts w:ascii="Cambria Math" w:hAnsi="Cambria Math"/>
                      <w:sz w:val="24"/>
                      <w:szCs w:val="24"/>
                    </w:rPr>
                    <m:t>s→∞</m:t>
                  </m:r>
                </m:lim>
              </m:limLow>
            </m:fName>
            <m:e>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1+r</m:t>
                          </m:r>
                        </m:den>
                      </m:f>
                    </m:e>
                  </m:d>
                </m:e>
                <m:sup>
                  <m:r>
                    <w:rPr>
                      <w:rFonts w:ascii="Cambria Math" w:hAnsi="Cambria Math"/>
                      <w:sz w:val="24"/>
                      <w:szCs w:val="24"/>
                    </w:rPr>
                    <m:t>s+1</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it+s</m:t>
                  </m:r>
                </m:sub>
              </m:sSub>
            </m:e>
          </m:func>
          <m:r>
            <w:rPr>
              <w:rFonts w:ascii="Cambria Math" w:hAnsi="Cambria Math"/>
              <w:sz w:val="24"/>
              <w:szCs w:val="24"/>
            </w:rPr>
            <m:t xml:space="preserve">        </m:t>
          </m:r>
          <m:d>
            <m:dPr>
              <m:ctrlPr>
                <w:rPr>
                  <w:rFonts w:ascii="Cambria Math" w:hAnsi="Cambria Math"/>
                  <w:i/>
                  <w:sz w:val="24"/>
                  <w:szCs w:val="24"/>
                </w:rPr>
              </m:ctrlPr>
            </m:dPr>
            <m:e>
              <m:r>
                <w:rPr>
                  <w:rFonts w:ascii="Cambria Math" w:hAnsi="Cambria Math"/>
                  <w:sz w:val="24"/>
                  <w:szCs w:val="24"/>
                </w:rPr>
                <m:t>2</m:t>
              </m:r>
            </m:e>
          </m:d>
        </m:oMath>
      </m:oMathPara>
    </w:p>
    <w:p w14:paraId="38D5A432" w14:textId="77777777" w:rsidR="00B406F3" w:rsidRPr="00E92CA0" w:rsidRDefault="00B406F3" w:rsidP="00503090">
      <w:pPr>
        <w:spacing w:line="360" w:lineRule="auto"/>
        <w:contextualSpacing/>
        <w:jc w:val="both"/>
        <w:rPr>
          <w:rFonts w:ascii="Arial" w:hAnsi="Arial" w:cs="Arial"/>
          <w:sz w:val="24"/>
          <w:szCs w:val="24"/>
        </w:rPr>
      </w:pPr>
      <w:r w:rsidRPr="00E92CA0">
        <w:rPr>
          <w:rFonts w:ascii="Arial" w:hAnsi="Arial" w:cs="Arial"/>
          <w:sz w:val="24"/>
          <w:szCs w:val="24"/>
        </w:rPr>
        <w:tab/>
        <w:t xml:space="preserve">Se o governo </w:t>
      </w:r>
      <w:proofErr w:type="gramStart"/>
      <w:r w:rsidRPr="00E92CA0">
        <w:rPr>
          <w:rFonts w:ascii="Arial" w:hAnsi="Arial" w:cs="Arial"/>
          <w:sz w:val="24"/>
          <w:szCs w:val="24"/>
        </w:rPr>
        <w:t>obedece sua</w:t>
      </w:r>
      <w:proofErr w:type="gramEnd"/>
      <w:r w:rsidRPr="00E92CA0">
        <w:rPr>
          <w:rFonts w:ascii="Arial" w:hAnsi="Arial" w:cs="Arial"/>
          <w:sz w:val="24"/>
          <w:szCs w:val="24"/>
        </w:rPr>
        <w:t xml:space="preserve"> restrição orçamentária intertemporal, então o valor presente esperado dos superávits primários futuros deve ser igual ao valor corrente da dívida. Isso resulta que:</w:t>
      </w:r>
    </w:p>
    <w:p w14:paraId="7708D7C5" w14:textId="77777777" w:rsidR="00B406F3" w:rsidRPr="00E92CA0" w:rsidRDefault="00452EE8" w:rsidP="00B406F3">
      <w:pPr>
        <w:spacing w:line="480" w:lineRule="auto"/>
        <w:contextualSpacing/>
        <w:jc w:val="both"/>
        <w:rPr>
          <w:rFonts w:ascii="Arial" w:hAnsi="Arial" w:cs="Arial"/>
          <w:sz w:val="24"/>
          <w:szCs w:val="24"/>
        </w:rPr>
      </w:pPr>
      <m:oMathPara>
        <m:oMathParaPr>
          <m:jc m:val="left"/>
        </m:oMathParaPr>
        <m:oMath>
          <m:func>
            <m:funcPr>
              <m:ctrlPr>
                <w:rPr>
                  <w:rFonts w:ascii="Cambria Math" w:hAnsi="Cambria Math"/>
                  <w:i/>
                  <w:sz w:val="24"/>
                  <w:szCs w:val="24"/>
                </w:rPr>
              </m:ctrlPr>
            </m:funcPr>
            <m:fName>
              <m:limLow>
                <m:limLowPr>
                  <m:ctrlPr>
                    <w:rPr>
                      <w:rFonts w:ascii="Cambria Math" w:hAnsi="Cambria Math"/>
                      <w:i/>
                      <w:sz w:val="24"/>
                      <w:szCs w:val="24"/>
                    </w:rPr>
                  </m:ctrlPr>
                </m:limLowPr>
                <m:e>
                  <m:r>
                    <m:rPr>
                      <m:sty m:val="p"/>
                    </m:rPr>
                    <w:rPr>
                      <w:rFonts w:ascii="Cambria Math" w:hAnsi="Cambria Math"/>
                      <w:sz w:val="24"/>
                      <w:szCs w:val="24"/>
                    </w:rPr>
                    <m:t>lim</m:t>
                  </m:r>
                </m:e>
                <m:lim>
                  <m:r>
                    <w:rPr>
                      <w:rFonts w:ascii="Cambria Math" w:hAnsi="Cambria Math"/>
                      <w:sz w:val="24"/>
                      <w:szCs w:val="24"/>
                    </w:rPr>
                    <m:t>s→∞</m:t>
                  </m:r>
                </m:lim>
              </m:limLow>
            </m:fName>
            <m:e>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1+r</m:t>
                          </m:r>
                        </m:den>
                      </m:f>
                    </m:e>
                  </m:d>
                </m:e>
                <m:sup>
                  <m:r>
                    <w:rPr>
                      <w:rFonts w:ascii="Cambria Math" w:hAnsi="Cambria Math"/>
                      <w:sz w:val="24"/>
                      <w:szCs w:val="24"/>
                    </w:rPr>
                    <m:t>s+1</m:t>
                  </m:r>
                </m:sup>
              </m:sSup>
            </m:e>
          </m:func>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t</m:t>
              </m:r>
            </m:sub>
          </m:sSub>
          <m:d>
            <m:dPr>
              <m:ctrlPr>
                <w:rPr>
                  <w:rFonts w:ascii="Cambria Math" w:hAnsi="Cambria Math"/>
                  <w:i/>
                  <w:sz w:val="24"/>
                  <w:szCs w:val="24"/>
                </w:rPr>
              </m:ctrlPr>
            </m:dPr>
            <m:e>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it+s</m:t>
                  </m:r>
                </m:sub>
              </m:sSub>
            </m:e>
          </m:d>
          <m:r>
            <w:rPr>
              <w:rFonts w:ascii="Cambria Math" w:hAnsi="Cambria Math" w:cs="Arial"/>
              <w:sz w:val="24"/>
              <w:szCs w:val="24"/>
            </w:rPr>
            <m:t xml:space="preserve">=0                              </m:t>
          </m:r>
          <m:d>
            <m:dPr>
              <m:ctrlPr>
                <w:rPr>
                  <w:rFonts w:ascii="Cambria Math" w:hAnsi="Cambria Math" w:cs="Arial"/>
                  <w:i/>
                  <w:sz w:val="24"/>
                  <w:szCs w:val="24"/>
                </w:rPr>
              </m:ctrlPr>
            </m:dPr>
            <m:e>
              <m:r>
                <w:rPr>
                  <w:rFonts w:ascii="Cambria Math" w:hAnsi="Cambria Math" w:cs="Arial"/>
                  <w:sz w:val="24"/>
                  <w:szCs w:val="24"/>
                </w:rPr>
                <m:t>3</m:t>
              </m:r>
            </m:e>
          </m:d>
        </m:oMath>
      </m:oMathPara>
    </w:p>
    <w:p w14:paraId="294A96F4" w14:textId="1C007DB4" w:rsidR="00B406F3" w:rsidRDefault="00B406F3" w:rsidP="00503090">
      <w:pPr>
        <w:spacing w:line="360" w:lineRule="auto"/>
        <w:ind w:firstLine="708"/>
        <w:contextualSpacing/>
        <w:jc w:val="both"/>
        <w:rPr>
          <w:rFonts w:ascii="Arial" w:hAnsi="Arial" w:cs="Arial"/>
          <w:sz w:val="24"/>
          <w:szCs w:val="24"/>
        </w:rPr>
      </w:pPr>
      <w:r w:rsidRPr="00E92CA0">
        <w:rPr>
          <w:rFonts w:ascii="Arial" w:hAnsi="Arial" w:cs="Arial"/>
          <w:sz w:val="24"/>
          <w:szCs w:val="24"/>
        </w:rPr>
        <w:t xml:space="preserve">Em que </w:t>
      </w:r>
      <m:oMath>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t</m:t>
            </m:r>
          </m:sub>
        </m:sSub>
      </m:oMath>
      <w:r w:rsidRPr="00E92CA0">
        <w:rPr>
          <w:rFonts w:ascii="Arial" w:hAnsi="Arial" w:cs="Arial"/>
          <w:sz w:val="24"/>
          <w:szCs w:val="24"/>
        </w:rPr>
        <w:t xml:space="preserve"> é o operador de esperança condicional na informação disponível no tempo </w:t>
      </w:r>
      <w:r w:rsidRPr="00E92CA0">
        <w:rPr>
          <w:rFonts w:ascii="Arial" w:hAnsi="Arial" w:cs="Arial"/>
          <w:i/>
          <w:sz w:val="24"/>
          <w:szCs w:val="24"/>
        </w:rPr>
        <w:t>t</w:t>
      </w:r>
      <w:r w:rsidRPr="00E92CA0">
        <w:rPr>
          <w:rFonts w:ascii="Arial" w:hAnsi="Arial" w:cs="Arial"/>
          <w:sz w:val="24"/>
          <w:szCs w:val="24"/>
        </w:rPr>
        <w:t xml:space="preserve">. Uma maneira de se verificar a hipótese da sustentabilidade é testar se a dívida pública é estacionária em suas primeiras diferenças, isto é, se </w:t>
      </w:r>
      <m:oMath>
        <m:r>
          <m:rPr>
            <m:sty m:val="p"/>
          </m:rPr>
          <w:rPr>
            <w:rFonts w:ascii="Cambria Math" w:hAnsi="Cambria Math"/>
            <w:sz w:val="24"/>
            <w:szCs w:val="24"/>
          </w:rPr>
          <m:t>Δ</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it</m:t>
            </m:r>
          </m:sub>
        </m:sSub>
      </m:oMath>
      <w:r w:rsidRPr="00E92CA0">
        <w:rPr>
          <w:rFonts w:ascii="Arial" w:hAnsi="Arial" w:cs="Arial"/>
          <w:sz w:val="24"/>
          <w:szCs w:val="24"/>
        </w:rPr>
        <w:t xml:space="preserve"> é</w:t>
      </w:r>
      <w:r>
        <w:rPr>
          <w:rFonts w:ascii="Arial" w:hAnsi="Arial" w:cs="Arial"/>
          <w:sz w:val="24"/>
          <w:szCs w:val="24"/>
        </w:rPr>
        <w:t xml:space="preserve"> variável integrada de ordem zero: </w:t>
      </w:r>
      <w:r w:rsidRPr="00E92CA0">
        <w:rPr>
          <w:rFonts w:ascii="Arial" w:hAnsi="Arial" w:cs="Arial"/>
          <w:sz w:val="24"/>
          <w:szCs w:val="24"/>
        </w:rPr>
        <w:t>I(0)</w:t>
      </w:r>
      <w:r>
        <w:rPr>
          <w:rStyle w:val="Refdenotaderodap"/>
          <w:rFonts w:ascii="Arial" w:hAnsi="Arial" w:cs="Arial"/>
          <w:sz w:val="24"/>
          <w:szCs w:val="24"/>
        </w:rPr>
        <w:footnoteReference w:id="1"/>
      </w:r>
      <w:r w:rsidRPr="00E92CA0">
        <w:rPr>
          <w:rFonts w:ascii="Arial" w:hAnsi="Arial" w:cs="Arial"/>
          <w:sz w:val="24"/>
          <w:szCs w:val="24"/>
        </w:rPr>
        <w:t xml:space="preserve">. Alternativamente, pode-se testar </w:t>
      </w:r>
      <w:proofErr w:type="spellStart"/>
      <w:r w:rsidRPr="00E92CA0">
        <w:rPr>
          <w:rFonts w:ascii="Arial" w:hAnsi="Arial" w:cs="Arial"/>
          <w:sz w:val="24"/>
          <w:szCs w:val="24"/>
        </w:rPr>
        <w:t>cointegração</w:t>
      </w:r>
      <w:proofErr w:type="spellEnd"/>
      <w:r>
        <w:rPr>
          <w:rStyle w:val="Refdenotaderodap"/>
          <w:rFonts w:ascii="Arial" w:hAnsi="Arial" w:cs="Arial"/>
          <w:sz w:val="24"/>
          <w:szCs w:val="24"/>
        </w:rPr>
        <w:footnoteReference w:id="2"/>
      </w:r>
      <w:r w:rsidRPr="00E92CA0">
        <w:rPr>
          <w:rFonts w:ascii="Arial" w:hAnsi="Arial" w:cs="Arial"/>
          <w:sz w:val="24"/>
          <w:szCs w:val="24"/>
        </w:rPr>
        <w:t xml:space="preserve"> na seguinte regressão:</w:t>
      </w:r>
    </w:p>
    <w:p w14:paraId="59E31F75" w14:textId="77777777" w:rsidR="00503090" w:rsidRPr="00E92CA0" w:rsidRDefault="00503090" w:rsidP="00503090">
      <w:pPr>
        <w:spacing w:line="360" w:lineRule="auto"/>
        <w:ind w:firstLine="708"/>
        <w:contextualSpacing/>
        <w:jc w:val="both"/>
        <w:rPr>
          <w:rFonts w:ascii="Arial" w:hAnsi="Arial" w:cs="Arial"/>
          <w:sz w:val="24"/>
          <w:szCs w:val="24"/>
        </w:rPr>
      </w:pPr>
    </w:p>
    <w:p w14:paraId="2D8DE82E" w14:textId="77777777" w:rsidR="00B406F3" w:rsidRPr="00E92CA0" w:rsidRDefault="00452EE8" w:rsidP="00B406F3">
      <w:pPr>
        <w:spacing w:line="480" w:lineRule="auto"/>
        <w:contextualSpacing/>
        <w:jc w:val="both"/>
        <w:rPr>
          <w:rFonts w:ascii="Arial" w:hAnsi="Arial" w:cs="Arial"/>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i</m:t>
              </m:r>
            </m:sub>
          </m:sSub>
          <m:r>
            <w:rPr>
              <w:rFonts w:ascii="Cambria Math" w:hAnsi="Cambria Math"/>
              <w:sz w:val="24"/>
              <w:szCs w:val="24"/>
            </w:rPr>
            <m:t>+β</m:t>
          </m:r>
          <m:sSub>
            <m:sSubPr>
              <m:ctrlPr>
                <w:rPr>
                  <w:rFonts w:ascii="Cambria Math" w:hAnsi="Cambria Math"/>
                  <w:i/>
                  <w:sz w:val="24"/>
                  <w:szCs w:val="24"/>
                </w:rPr>
              </m:ctrlPr>
            </m:sSubPr>
            <m:e>
              <m:r>
                <w:rPr>
                  <w:rFonts w:ascii="Cambria Math" w:hAnsi="Cambria Math"/>
                  <w:sz w:val="24"/>
                  <w:szCs w:val="24"/>
                </w:rPr>
                <m:t>G</m:t>
              </m:r>
            </m:e>
            <m:sub>
              <m:r>
                <w:rPr>
                  <w:rFonts w:ascii="Cambria Math" w:hAnsi="Cambria Math"/>
                  <w:sz w:val="24"/>
                  <w:szCs w:val="24"/>
                </w:rPr>
                <m:t>it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it</m:t>
              </m:r>
            </m:sub>
          </m:sSub>
          <m:r>
            <w:rPr>
              <w:rFonts w:ascii="Cambria Math" w:hAnsi="Cambria Math"/>
              <w:sz w:val="24"/>
              <w:szCs w:val="24"/>
            </w:rPr>
            <m:t xml:space="preserve">                     </m:t>
          </m:r>
          <m:d>
            <m:dPr>
              <m:ctrlPr>
                <w:rPr>
                  <w:rFonts w:ascii="Cambria Math" w:hAnsi="Cambria Math"/>
                  <w:i/>
                  <w:sz w:val="24"/>
                  <w:szCs w:val="24"/>
                </w:rPr>
              </m:ctrlPr>
            </m:dPr>
            <m:e>
              <m:r>
                <w:rPr>
                  <w:rFonts w:ascii="Cambria Math" w:hAnsi="Cambria Math"/>
                  <w:sz w:val="24"/>
                  <w:szCs w:val="24"/>
                </w:rPr>
                <m:t>4</m:t>
              </m:r>
            </m:e>
          </m:d>
        </m:oMath>
      </m:oMathPara>
    </w:p>
    <w:p w14:paraId="381108E0" w14:textId="77777777" w:rsidR="00B406F3" w:rsidRPr="00E92CA0" w:rsidRDefault="00B406F3" w:rsidP="00503090">
      <w:pPr>
        <w:spacing w:line="360" w:lineRule="auto"/>
        <w:ind w:firstLine="708"/>
        <w:contextualSpacing/>
        <w:jc w:val="both"/>
        <w:rPr>
          <w:rFonts w:ascii="Arial" w:hAnsi="Arial" w:cs="Arial"/>
          <w:sz w:val="24"/>
          <w:szCs w:val="24"/>
        </w:rPr>
      </w:pPr>
      <w:r w:rsidRPr="00E92CA0">
        <w:rPr>
          <w:rFonts w:ascii="Arial" w:hAnsi="Arial" w:cs="Arial"/>
          <w:sz w:val="24"/>
          <w:szCs w:val="24"/>
        </w:rPr>
        <w:lastRenderedPageBreak/>
        <w:t xml:space="preserve">Em que </w:t>
      </w:r>
      <m:oMath>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it</m:t>
            </m:r>
          </m:sub>
        </m:sSub>
      </m:oMath>
      <w:r w:rsidRPr="00E92CA0">
        <w:rPr>
          <w:rFonts w:ascii="Arial" w:hAnsi="Arial" w:cs="Arial"/>
          <w:sz w:val="24"/>
          <w:szCs w:val="24"/>
        </w:rPr>
        <w:t xml:space="preserve"> é um termo de erro com média zero. A equação (4), juntamente com a equação (2) implica que as primeiras diferenças da dívida pública </w:t>
      </w:r>
      <w:r>
        <w:rPr>
          <w:rFonts w:ascii="Arial" w:hAnsi="Arial" w:cs="Arial"/>
          <w:sz w:val="24"/>
          <w:szCs w:val="24"/>
        </w:rPr>
        <w:t xml:space="preserve">(ou seja, a variação da dívida pública) </w:t>
      </w:r>
      <w:r w:rsidRPr="00E92CA0">
        <w:rPr>
          <w:rFonts w:ascii="Arial" w:hAnsi="Arial" w:cs="Arial"/>
          <w:sz w:val="24"/>
          <w:szCs w:val="24"/>
        </w:rPr>
        <w:t>podem ser escrita</w:t>
      </w:r>
      <w:r>
        <w:rPr>
          <w:rFonts w:ascii="Arial" w:hAnsi="Arial" w:cs="Arial"/>
          <w:sz w:val="24"/>
          <w:szCs w:val="24"/>
        </w:rPr>
        <w:t>s</w:t>
      </w:r>
      <w:r w:rsidRPr="00E92CA0">
        <w:rPr>
          <w:rFonts w:ascii="Arial" w:hAnsi="Arial" w:cs="Arial"/>
          <w:sz w:val="24"/>
          <w:szCs w:val="24"/>
        </w:rPr>
        <w:t xml:space="preserve"> como:</w:t>
      </w:r>
    </w:p>
    <w:p w14:paraId="008E3CE4" w14:textId="77777777" w:rsidR="00B406F3" w:rsidRPr="00E92CA0" w:rsidRDefault="00B406F3" w:rsidP="00B406F3">
      <w:pPr>
        <w:spacing w:line="480" w:lineRule="auto"/>
        <w:contextualSpacing/>
        <w:jc w:val="both"/>
        <w:rPr>
          <w:rFonts w:ascii="Arial" w:hAnsi="Arial" w:cs="Arial"/>
          <w:sz w:val="24"/>
          <w:szCs w:val="24"/>
        </w:rPr>
      </w:pPr>
      <m:oMathPara>
        <m:oMathParaPr>
          <m:jc m:val="left"/>
        </m:oMathParaPr>
        <m:oMath>
          <m:r>
            <m:rPr>
              <m:sty m:val="p"/>
            </m:rPr>
            <w:rPr>
              <w:rFonts w:ascii="Cambria Math" w:hAnsi="Cambria Math"/>
              <w:sz w:val="24"/>
              <w:szCs w:val="24"/>
            </w:rPr>
            <m:t>Δ</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it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G</m:t>
              </m:r>
            </m:e>
            <m:sub>
              <m:r>
                <w:rPr>
                  <w:rFonts w:ascii="Cambria Math" w:hAnsi="Cambria Math"/>
                  <w:sz w:val="24"/>
                  <w:szCs w:val="24"/>
                </w:rPr>
                <m:t>it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it</m:t>
              </m:r>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1-β</m:t>
              </m:r>
            </m:e>
          </m:d>
          <m:sSub>
            <m:sSubPr>
              <m:ctrlPr>
                <w:rPr>
                  <w:rFonts w:ascii="Cambria Math" w:hAnsi="Cambria Math"/>
                  <w:i/>
                  <w:sz w:val="24"/>
                  <w:szCs w:val="24"/>
                </w:rPr>
              </m:ctrlPr>
            </m:sSubPr>
            <m:e>
              <m:r>
                <w:rPr>
                  <w:rFonts w:ascii="Cambria Math" w:hAnsi="Cambria Math"/>
                  <w:sz w:val="24"/>
                  <w:szCs w:val="24"/>
                </w:rPr>
                <m:t>G</m:t>
              </m:r>
            </m:e>
            <m:sub>
              <m:r>
                <w:rPr>
                  <w:rFonts w:ascii="Cambria Math" w:hAnsi="Cambria Math"/>
                  <w:sz w:val="24"/>
                  <w:szCs w:val="24"/>
                </w:rPr>
                <m:t>it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it</m:t>
              </m:r>
            </m:sub>
          </m:sSub>
          <m:r>
            <w:rPr>
              <w:rFonts w:ascii="Cambria Math" w:hAnsi="Cambria Math"/>
              <w:sz w:val="24"/>
              <w:szCs w:val="24"/>
            </w:rPr>
            <m:t xml:space="preserve">              </m:t>
          </m:r>
          <m:d>
            <m:dPr>
              <m:ctrlPr>
                <w:rPr>
                  <w:rFonts w:ascii="Cambria Math" w:hAnsi="Cambria Math"/>
                  <w:i/>
                  <w:sz w:val="24"/>
                  <w:szCs w:val="24"/>
                </w:rPr>
              </m:ctrlPr>
            </m:dPr>
            <m:e>
              <m:r>
                <w:rPr>
                  <w:rFonts w:ascii="Cambria Math" w:hAnsi="Cambria Math"/>
                  <w:sz w:val="24"/>
                  <w:szCs w:val="24"/>
                </w:rPr>
                <m:t>5</m:t>
              </m:r>
            </m:e>
          </m:d>
        </m:oMath>
      </m:oMathPara>
    </w:p>
    <w:p w14:paraId="216FF8E1" w14:textId="56039534" w:rsidR="00503090" w:rsidRDefault="00B406F3" w:rsidP="00503090">
      <w:pPr>
        <w:spacing w:after="0" w:line="360" w:lineRule="auto"/>
        <w:contextualSpacing/>
        <w:jc w:val="both"/>
        <w:rPr>
          <w:rFonts w:ascii="Arial" w:hAnsi="Arial" w:cs="Arial"/>
          <w:sz w:val="24"/>
          <w:szCs w:val="24"/>
        </w:rPr>
      </w:pPr>
      <w:r w:rsidRPr="00E92CA0">
        <w:rPr>
          <w:rFonts w:ascii="Arial" w:hAnsi="Arial" w:cs="Arial"/>
          <w:sz w:val="24"/>
          <w:szCs w:val="24"/>
        </w:rPr>
        <w:tab/>
        <w:t xml:space="preserve">Quintos (1995) assume que o estoque da dívida pública </w:t>
      </w:r>
      <m:oMath>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it</m:t>
                </m:r>
              </m:sub>
            </m:sSub>
          </m:e>
        </m:d>
      </m:oMath>
      <w:r w:rsidRPr="00E92CA0">
        <w:rPr>
          <w:rFonts w:ascii="Arial" w:hAnsi="Arial" w:cs="Arial"/>
          <w:sz w:val="24"/>
          <w:szCs w:val="24"/>
        </w:rPr>
        <w:t xml:space="preserve"> é</w:t>
      </w:r>
      <w:r>
        <w:rPr>
          <w:rFonts w:ascii="Arial" w:hAnsi="Arial" w:cs="Arial"/>
          <w:sz w:val="24"/>
          <w:szCs w:val="24"/>
        </w:rPr>
        <w:t xml:space="preserve"> integrado de primeira ou segunda ordem, ou seja,</w:t>
      </w:r>
      <w:r w:rsidRPr="00E92CA0">
        <w:rPr>
          <w:rFonts w:ascii="Arial" w:hAnsi="Arial" w:cs="Arial"/>
          <w:sz w:val="24"/>
          <w:szCs w:val="24"/>
        </w:rPr>
        <w:t xml:space="preserve"> </w:t>
      </w:r>
      <w:proofErr w:type="gramStart"/>
      <w:r w:rsidRPr="00E92CA0">
        <w:rPr>
          <w:rFonts w:ascii="Arial" w:hAnsi="Arial" w:cs="Arial"/>
          <w:sz w:val="24"/>
          <w:szCs w:val="24"/>
        </w:rPr>
        <w:t>I(</w:t>
      </w:r>
      <w:proofErr w:type="gramEnd"/>
      <w:r w:rsidRPr="00E92CA0">
        <w:rPr>
          <w:rFonts w:ascii="Arial" w:hAnsi="Arial" w:cs="Arial"/>
          <w:sz w:val="24"/>
          <w:szCs w:val="24"/>
        </w:rPr>
        <w:t>1) ou I(2), e nesse caso a análise de sustentabilidade pode ter três cenários possíveis:</w:t>
      </w:r>
      <w:r w:rsidR="00503090">
        <w:rPr>
          <w:rFonts w:ascii="Arial" w:hAnsi="Arial" w:cs="Arial"/>
          <w:sz w:val="24"/>
          <w:szCs w:val="24"/>
        </w:rPr>
        <w:t xml:space="preserve"> </w:t>
      </w:r>
    </w:p>
    <w:p w14:paraId="627FE2BA" w14:textId="77777777" w:rsidR="00503090" w:rsidRDefault="00503090" w:rsidP="00503090">
      <w:pPr>
        <w:spacing w:after="0" w:line="360" w:lineRule="auto"/>
        <w:contextualSpacing/>
        <w:jc w:val="both"/>
        <w:rPr>
          <w:rFonts w:ascii="Arial" w:hAnsi="Arial" w:cs="Arial"/>
          <w:sz w:val="24"/>
          <w:szCs w:val="24"/>
        </w:rPr>
      </w:pPr>
    </w:p>
    <w:p w14:paraId="5387B320" w14:textId="17EFA38D" w:rsidR="00503090" w:rsidRPr="00503090" w:rsidRDefault="00B406F3" w:rsidP="00503090">
      <w:pPr>
        <w:pStyle w:val="PargrafodaLista"/>
        <w:numPr>
          <w:ilvl w:val="0"/>
          <w:numId w:val="5"/>
        </w:numPr>
        <w:spacing w:after="0" w:line="360" w:lineRule="auto"/>
        <w:jc w:val="both"/>
        <w:rPr>
          <w:rFonts w:ascii="Arial" w:hAnsi="Arial" w:cs="Arial"/>
          <w:sz w:val="24"/>
          <w:szCs w:val="24"/>
        </w:rPr>
      </w:pPr>
      <w:r w:rsidRPr="00503090">
        <w:rPr>
          <w:rFonts w:ascii="Arial" w:hAnsi="Arial" w:cs="Arial"/>
          <w:sz w:val="24"/>
          <w:szCs w:val="24"/>
        </w:rPr>
        <w:t xml:space="preserve">Se </w:t>
      </w:r>
      <m:oMath>
        <m:r>
          <m:rPr>
            <m:sty m:val="p"/>
          </m:rPr>
          <w:rPr>
            <w:rFonts w:ascii="Cambria Math" w:hAnsi="Cambria Math"/>
            <w:sz w:val="24"/>
            <w:szCs w:val="24"/>
          </w:rPr>
          <m:t>Δ</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it</m:t>
            </m:r>
          </m:sub>
        </m:sSub>
      </m:oMath>
      <w:r w:rsidRPr="00503090">
        <w:rPr>
          <w:rFonts w:ascii="Arial" w:hAnsi="Arial" w:cs="Arial"/>
          <w:sz w:val="24"/>
          <w:szCs w:val="24"/>
        </w:rPr>
        <w:t xml:space="preserve"> é integrado de ordem zero, </w:t>
      </w:r>
      <w:proofErr w:type="gramStart"/>
      <w:r w:rsidRPr="00503090">
        <w:rPr>
          <w:rFonts w:ascii="Arial" w:hAnsi="Arial" w:cs="Arial"/>
          <w:sz w:val="24"/>
          <w:szCs w:val="24"/>
        </w:rPr>
        <w:t>I(</w:t>
      </w:r>
      <w:proofErr w:type="gramEnd"/>
      <w:r w:rsidRPr="00503090">
        <w:rPr>
          <w:rFonts w:ascii="Arial" w:hAnsi="Arial" w:cs="Arial"/>
          <w:sz w:val="24"/>
          <w:szCs w:val="24"/>
        </w:rPr>
        <w:t xml:space="preserve">0), então a sustentabilidade é dita ser “forte”. A equação (5) implica que, para que isso ocorra, o coeficiente </w:t>
      </w:r>
      <m:oMath>
        <m:r>
          <w:rPr>
            <w:rFonts w:ascii="Cambria Math" w:hAnsi="Cambria Math"/>
            <w:sz w:val="24"/>
            <w:szCs w:val="24"/>
          </w:rPr>
          <m:t>β</m:t>
        </m:r>
      </m:oMath>
      <w:r w:rsidRPr="00503090">
        <w:rPr>
          <w:rFonts w:ascii="Arial" w:hAnsi="Arial" w:cs="Arial"/>
          <w:sz w:val="24"/>
          <w:szCs w:val="24"/>
        </w:rPr>
        <w:t xml:space="preserve"> precisa ser necessariamente igual a um, e </w:t>
      </w:r>
      <m:oMath>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it</m:t>
            </m:r>
          </m:sub>
        </m:sSub>
      </m:oMath>
      <w:r w:rsidRPr="00503090">
        <w:rPr>
          <w:rFonts w:ascii="Arial" w:hAnsi="Arial" w:cs="Arial"/>
          <w:sz w:val="24"/>
          <w:szCs w:val="24"/>
        </w:rPr>
        <w:t xml:space="preserve"> precisa ser </w:t>
      </w:r>
      <w:proofErr w:type="gramStart"/>
      <w:r w:rsidRPr="00503090">
        <w:rPr>
          <w:rFonts w:ascii="Arial" w:hAnsi="Arial" w:cs="Arial"/>
          <w:sz w:val="24"/>
          <w:szCs w:val="24"/>
        </w:rPr>
        <w:t>I(</w:t>
      </w:r>
      <w:proofErr w:type="gramEnd"/>
      <w:r w:rsidRPr="00503090">
        <w:rPr>
          <w:rFonts w:ascii="Arial" w:hAnsi="Arial" w:cs="Arial"/>
          <w:sz w:val="24"/>
          <w:szCs w:val="24"/>
        </w:rPr>
        <w:t xml:space="preserve">0). Portanto, nesse caso o nível da dívida pública é </w:t>
      </w:r>
      <w:proofErr w:type="gramStart"/>
      <w:r w:rsidRPr="00503090">
        <w:rPr>
          <w:rFonts w:ascii="Arial" w:hAnsi="Arial" w:cs="Arial"/>
          <w:sz w:val="24"/>
          <w:szCs w:val="24"/>
        </w:rPr>
        <w:t>I(</w:t>
      </w:r>
      <w:proofErr w:type="gramEnd"/>
      <w:r w:rsidRPr="00503090">
        <w:rPr>
          <w:rFonts w:ascii="Arial" w:hAnsi="Arial" w:cs="Arial"/>
          <w:sz w:val="24"/>
          <w:szCs w:val="24"/>
        </w:rPr>
        <w:t xml:space="preserve">1), bem como </w:t>
      </w:r>
      <m:oMath>
        <m:sSub>
          <m:sSubPr>
            <m:ctrlPr>
              <w:rPr>
                <w:rFonts w:ascii="Cambria Math" w:hAnsi="Cambria Math"/>
                <w:i/>
                <w:sz w:val="24"/>
                <w:szCs w:val="24"/>
              </w:rPr>
            </m:ctrlPr>
          </m:sSubPr>
          <m:e>
            <m:r>
              <w:rPr>
                <w:rFonts w:ascii="Cambria Math" w:hAnsi="Cambria Math"/>
                <w:sz w:val="24"/>
                <w:szCs w:val="24"/>
              </w:rPr>
              <m:t>G</m:t>
            </m:r>
          </m:e>
          <m:sub>
            <m:r>
              <w:rPr>
                <w:rFonts w:ascii="Cambria Math" w:hAnsi="Cambria Math"/>
                <w:sz w:val="24"/>
                <w:szCs w:val="24"/>
              </w:rPr>
              <m:t>it</m:t>
            </m:r>
          </m:sub>
        </m:sSub>
      </m:oMath>
      <w:r w:rsidRPr="00503090">
        <w:rPr>
          <w:rFonts w:ascii="Arial" w:hAnsi="Arial" w:cs="Arial"/>
          <w:sz w:val="24"/>
          <w:szCs w:val="24"/>
        </w:rPr>
        <w:t xml:space="preserve"> 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it</m:t>
            </m:r>
          </m:sub>
        </m:sSub>
      </m:oMath>
      <w:r w:rsidRPr="00503090">
        <w:rPr>
          <w:rFonts w:ascii="Arial" w:hAnsi="Arial" w:cs="Arial"/>
          <w:sz w:val="24"/>
          <w:szCs w:val="24"/>
        </w:rPr>
        <w:t xml:space="preserve"> são cointegradas. </w:t>
      </w:r>
    </w:p>
    <w:p w14:paraId="5D7782DD" w14:textId="5FAB8E87" w:rsidR="00B406F3" w:rsidRPr="00503090" w:rsidRDefault="00B406F3" w:rsidP="00503090">
      <w:pPr>
        <w:pStyle w:val="PargrafodaLista"/>
        <w:numPr>
          <w:ilvl w:val="0"/>
          <w:numId w:val="5"/>
        </w:numPr>
        <w:spacing w:after="0" w:line="360" w:lineRule="auto"/>
        <w:jc w:val="both"/>
        <w:rPr>
          <w:rFonts w:ascii="Arial" w:hAnsi="Arial" w:cs="Arial"/>
          <w:sz w:val="24"/>
          <w:szCs w:val="24"/>
        </w:rPr>
      </w:pPr>
      <w:r w:rsidRPr="00503090">
        <w:rPr>
          <w:rFonts w:ascii="Arial" w:hAnsi="Arial" w:cs="Arial"/>
          <w:sz w:val="24"/>
          <w:szCs w:val="24"/>
        </w:rPr>
        <w:t>(</w:t>
      </w:r>
      <w:proofErr w:type="spellStart"/>
      <w:r w:rsidRPr="00503090">
        <w:rPr>
          <w:rFonts w:ascii="Arial" w:hAnsi="Arial" w:cs="Arial"/>
          <w:sz w:val="24"/>
          <w:szCs w:val="24"/>
        </w:rPr>
        <w:t>ii</w:t>
      </w:r>
      <w:proofErr w:type="spellEnd"/>
      <w:r w:rsidRPr="00503090">
        <w:rPr>
          <w:rFonts w:ascii="Arial" w:hAnsi="Arial" w:cs="Arial"/>
          <w:sz w:val="24"/>
          <w:szCs w:val="24"/>
        </w:rPr>
        <w:t xml:space="preserve">) A sustentabilidade forte é consistente com a ideia de que os déficits não podem ser persistentes. Todavia, como Quintos (1995) mostra, a sustentabilidade ocorre mesmo se </w:t>
      </w:r>
      <m:oMath>
        <m:r>
          <m:rPr>
            <m:sty m:val="p"/>
          </m:rPr>
          <w:rPr>
            <w:rFonts w:ascii="Cambria Math" w:hAnsi="Cambria Math"/>
            <w:sz w:val="24"/>
            <w:szCs w:val="24"/>
          </w:rPr>
          <m:t>Δ</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it</m:t>
            </m:r>
          </m:sub>
        </m:sSub>
      </m:oMath>
      <w:r w:rsidRPr="00503090">
        <w:rPr>
          <w:rFonts w:ascii="Arial" w:hAnsi="Arial" w:cs="Arial"/>
          <w:sz w:val="24"/>
          <w:szCs w:val="24"/>
        </w:rPr>
        <w:t xml:space="preserve"> é </w:t>
      </w:r>
      <w:proofErr w:type="gramStart"/>
      <w:r w:rsidRPr="00503090">
        <w:rPr>
          <w:rFonts w:ascii="Arial" w:hAnsi="Arial" w:cs="Arial"/>
          <w:sz w:val="24"/>
          <w:szCs w:val="24"/>
        </w:rPr>
        <w:t>I(</w:t>
      </w:r>
      <w:proofErr w:type="gramEnd"/>
      <w:r w:rsidRPr="00503090">
        <w:rPr>
          <w:rFonts w:ascii="Arial" w:hAnsi="Arial" w:cs="Arial"/>
          <w:sz w:val="24"/>
          <w:szCs w:val="24"/>
        </w:rPr>
        <w:t xml:space="preserve">1), de tal modo que a dívida é I(2). Mas, desde que o governo esteja gastando agora mais do que suas receitas, eventualmente irá incorrer em dificuldades no gerenciamento de sua dívida, e a sustentabilidade é dita ser “fraca. Portanto, a única exigência aqui é que </w:t>
      </w:r>
      <m:oMath>
        <m:r>
          <w:rPr>
            <w:rFonts w:ascii="Cambria Math" w:hAnsi="Cambria Math" w:cs="Arial"/>
            <w:sz w:val="24"/>
            <w:szCs w:val="24"/>
          </w:rPr>
          <m:t>0&lt;</m:t>
        </m:r>
        <m:r>
          <w:rPr>
            <w:rFonts w:ascii="Cambria Math" w:hAnsi="Cambria Math"/>
            <w:sz w:val="24"/>
            <w:szCs w:val="24"/>
          </w:rPr>
          <m:t>β&lt;1</m:t>
        </m:r>
      </m:oMath>
      <w:r w:rsidRPr="00503090">
        <w:rPr>
          <w:rFonts w:ascii="Arial" w:hAnsi="Arial" w:cs="Arial"/>
          <w:sz w:val="24"/>
          <w:szCs w:val="24"/>
        </w:rPr>
        <w:t xml:space="preserve">. Nesse caso, em que </w:t>
      </w:r>
      <m:oMath>
        <m:sSub>
          <m:sSubPr>
            <m:ctrlPr>
              <w:rPr>
                <w:rFonts w:ascii="Cambria Math" w:hAnsi="Cambria Math"/>
                <w:i/>
                <w:sz w:val="24"/>
                <w:szCs w:val="24"/>
              </w:rPr>
            </m:ctrlPr>
          </m:sSubPr>
          <m:e>
            <m:r>
              <w:rPr>
                <w:rFonts w:ascii="Cambria Math" w:hAnsi="Cambria Math"/>
                <w:sz w:val="24"/>
                <w:szCs w:val="24"/>
              </w:rPr>
              <m:t>G</m:t>
            </m:r>
          </m:e>
          <m:sub>
            <m:r>
              <w:rPr>
                <w:rFonts w:ascii="Cambria Math" w:hAnsi="Cambria Math"/>
                <w:sz w:val="24"/>
                <w:szCs w:val="24"/>
              </w:rPr>
              <m:t>it</m:t>
            </m:r>
          </m:sub>
        </m:sSub>
      </m:oMath>
      <w:r w:rsidRPr="00503090">
        <w:rPr>
          <w:rFonts w:ascii="Arial" w:hAnsi="Arial" w:cs="Arial"/>
          <w:sz w:val="24"/>
          <w:szCs w:val="24"/>
        </w:rPr>
        <w:t xml:space="preserve"> 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it</m:t>
            </m:r>
          </m:sub>
        </m:sSub>
      </m:oMath>
      <w:r w:rsidRPr="00503090">
        <w:rPr>
          <w:rFonts w:ascii="Arial" w:hAnsi="Arial" w:cs="Arial"/>
          <w:sz w:val="24"/>
          <w:szCs w:val="24"/>
        </w:rPr>
        <w:t xml:space="preserve"> são cointegrados, a elasticidade de longo-prazo menor do que um da receita relativa ao gasto pode ser um indicativo de risco (</w:t>
      </w:r>
      <w:r w:rsidRPr="00503090">
        <w:rPr>
          <w:rFonts w:ascii="Arial" w:hAnsi="Arial" w:cs="Arial"/>
          <w:i/>
          <w:sz w:val="24"/>
          <w:szCs w:val="24"/>
        </w:rPr>
        <w:t>default</w:t>
      </w:r>
      <w:r w:rsidRPr="00503090">
        <w:rPr>
          <w:rFonts w:ascii="Arial" w:hAnsi="Arial" w:cs="Arial"/>
          <w:sz w:val="24"/>
          <w:szCs w:val="24"/>
        </w:rPr>
        <w:t xml:space="preserve"> da dívida pública).</w:t>
      </w:r>
    </w:p>
    <w:p w14:paraId="4CE43798" w14:textId="77777777" w:rsidR="00B406F3" w:rsidRPr="00E92CA0" w:rsidRDefault="00B406F3" w:rsidP="00503090">
      <w:pPr>
        <w:pStyle w:val="PargrafodaLista"/>
        <w:numPr>
          <w:ilvl w:val="0"/>
          <w:numId w:val="5"/>
        </w:numPr>
        <w:spacing w:after="0" w:line="360" w:lineRule="auto"/>
        <w:jc w:val="both"/>
        <w:rPr>
          <w:rFonts w:ascii="Arial" w:hAnsi="Arial" w:cs="Arial"/>
          <w:sz w:val="24"/>
          <w:szCs w:val="24"/>
        </w:rPr>
      </w:pPr>
      <w:r w:rsidRPr="00E92CA0">
        <w:rPr>
          <w:rFonts w:ascii="Arial" w:hAnsi="Arial" w:cs="Arial"/>
          <w:sz w:val="24"/>
          <w:szCs w:val="24"/>
        </w:rPr>
        <w:t>(</w:t>
      </w:r>
      <w:proofErr w:type="spellStart"/>
      <w:r w:rsidRPr="00E92CA0">
        <w:rPr>
          <w:rFonts w:ascii="Arial" w:hAnsi="Arial" w:cs="Arial"/>
          <w:sz w:val="24"/>
          <w:szCs w:val="24"/>
        </w:rPr>
        <w:t>iii</w:t>
      </w:r>
      <w:proofErr w:type="spellEnd"/>
      <w:r w:rsidRPr="00E92CA0">
        <w:rPr>
          <w:rFonts w:ascii="Arial" w:hAnsi="Arial" w:cs="Arial"/>
          <w:sz w:val="24"/>
          <w:szCs w:val="24"/>
        </w:rPr>
        <w:t xml:space="preserve">) Insustentabilidade, quando </w:t>
      </w:r>
      <m:oMath>
        <m:r>
          <w:rPr>
            <w:rFonts w:ascii="Cambria Math" w:hAnsi="Cambria Math" w:cs="Arial"/>
            <w:sz w:val="24"/>
            <w:szCs w:val="24"/>
          </w:rPr>
          <m:t>β</m:t>
        </m:r>
        <m:r>
          <m:rPr>
            <m:sty m:val="p"/>
          </m:rPr>
          <w:rPr>
            <w:rFonts w:ascii="Cambria Math" w:hAnsi="Cambria Math" w:cs="Arial"/>
            <w:sz w:val="24"/>
            <w:szCs w:val="24"/>
          </w:rPr>
          <m:t>≤0</m:t>
        </m:r>
      </m:oMath>
      <w:r w:rsidRPr="00E92CA0">
        <w:rPr>
          <w:rFonts w:ascii="Arial" w:hAnsi="Arial" w:cs="Arial"/>
          <w:sz w:val="24"/>
          <w:szCs w:val="24"/>
        </w:rPr>
        <w:t>, implicando que os déficits têm sido acumulados a uma taxa maior que a taxa de crescimento da economia, de modo que a restrição orçamentária intertemporal do governo seria violada.</w:t>
      </w:r>
    </w:p>
    <w:p w14:paraId="56201DB1" w14:textId="77777777" w:rsidR="00B406F3" w:rsidRDefault="00B406F3" w:rsidP="00F0005D">
      <w:pPr>
        <w:pStyle w:val="Default"/>
        <w:rPr>
          <w:rFonts w:ascii="Arial" w:hAnsi="Arial" w:cs="Arial"/>
          <w:b/>
          <w:bCs/>
        </w:rPr>
      </w:pPr>
    </w:p>
    <w:p w14:paraId="7E9451C1" w14:textId="77777777" w:rsidR="00B406F3" w:rsidRDefault="00B406F3" w:rsidP="00F0005D">
      <w:pPr>
        <w:pStyle w:val="Default"/>
        <w:rPr>
          <w:rFonts w:ascii="Arial" w:hAnsi="Arial" w:cs="Arial"/>
          <w:b/>
          <w:bCs/>
        </w:rPr>
      </w:pPr>
    </w:p>
    <w:p w14:paraId="73826DCC" w14:textId="2380B707" w:rsidR="00B406F3" w:rsidRDefault="00B406F3" w:rsidP="00F0005D">
      <w:pPr>
        <w:pStyle w:val="Default"/>
        <w:rPr>
          <w:rFonts w:ascii="Arial" w:hAnsi="Arial" w:cs="Arial"/>
          <w:b/>
          <w:bCs/>
        </w:rPr>
      </w:pPr>
      <w:r>
        <w:rPr>
          <w:rFonts w:ascii="Arial" w:hAnsi="Arial" w:cs="Arial"/>
          <w:b/>
          <w:bCs/>
        </w:rPr>
        <w:t>3.2 Testes de raízes unitárias em dados de painel</w:t>
      </w:r>
    </w:p>
    <w:p w14:paraId="1BFA5399" w14:textId="77777777" w:rsidR="00B406F3" w:rsidRPr="00345115" w:rsidRDefault="00B406F3" w:rsidP="00F0005D">
      <w:pPr>
        <w:pStyle w:val="Default"/>
        <w:rPr>
          <w:rFonts w:ascii="Arial" w:hAnsi="Arial" w:cs="Arial"/>
          <w:b/>
          <w:bCs/>
        </w:rPr>
      </w:pPr>
    </w:p>
    <w:p w14:paraId="706236FE" w14:textId="25A283FD" w:rsidR="00B406F3" w:rsidRDefault="00B406F3" w:rsidP="00503090">
      <w:pPr>
        <w:spacing w:after="0" w:line="360" w:lineRule="auto"/>
        <w:ind w:firstLine="708"/>
        <w:contextualSpacing/>
        <w:jc w:val="both"/>
        <w:rPr>
          <w:rFonts w:ascii="Arial" w:hAnsi="Arial" w:cs="Arial"/>
          <w:sz w:val="24"/>
          <w:szCs w:val="24"/>
        </w:rPr>
      </w:pPr>
      <w:r w:rsidRPr="00E92CA0">
        <w:rPr>
          <w:rFonts w:ascii="Arial" w:hAnsi="Arial" w:cs="Arial"/>
          <w:sz w:val="24"/>
          <w:szCs w:val="24"/>
        </w:rPr>
        <w:t xml:space="preserve">A determinação da </w:t>
      </w:r>
      <w:r>
        <w:rPr>
          <w:rFonts w:ascii="Arial" w:hAnsi="Arial" w:cs="Arial"/>
          <w:sz w:val="24"/>
          <w:szCs w:val="24"/>
        </w:rPr>
        <w:t>estacionariedade</w:t>
      </w:r>
      <w:r w:rsidRPr="00E92CA0">
        <w:rPr>
          <w:rFonts w:ascii="Arial" w:hAnsi="Arial" w:cs="Arial"/>
          <w:sz w:val="24"/>
          <w:szCs w:val="24"/>
        </w:rPr>
        <w:t xml:space="preserve"> das variáveis é um passo crucial, uma vez que a utilização de estimações econométricas com variáveis não estacionárias resulta em regressões espúrias. </w:t>
      </w:r>
      <w:r>
        <w:rPr>
          <w:rFonts w:ascii="Arial" w:hAnsi="Arial" w:cs="Arial"/>
          <w:sz w:val="24"/>
          <w:szCs w:val="24"/>
        </w:rPr>
        <w:t xml:space="preserve">Os testes de raízes unitárias em </w:t>
      </w:r>
      <w:r>
        <w:rPr>
          <w:rFonts w:ascii="Arial" w:hAnsi="Arial" w:cs="Arial"/>
          <w:sz w:val="24"/>
          <w:szCs w:val="24"/>
        </w:rPr>
        <w:lastRenderedPageBreak/>
        <w:t xml:space="preserve">dados de painel </w:t>
      </w:r>
      <w:r w:rsidRPr="00E92CA0">
        <w:rPr>
          <w:rFonts w:ascii="Arial" w:hAnsi="Arial" w:cs="Arial"/>
          <w:sz w:val="24"/>
          <w:szCs w:val="24"/>
        </w:rPr>
        <w:t>pode</w:t>
      </w:r>
      <w:r>
        <w:rPr>
          <w:rFonts w:ascii="Arial" w:hAnsi="Arial" w:cs="Arial"/>
          <w:sz w:val="24"/>
          <w:szCs w:val="24"/>
        </w:rPr>
        <w:t>m</w:t>
      </w:r>
      <w:r w:rsidRPr="00E92CA0">
        <w:rPr>
          <w:rFonts w:ascii="Arial" w:hAnsi="Arial" w:cs="Arial"/>
          <w:sz w:val="24"/>
          <w:szCs w:val="24"/>
        </w:rPr>
        <w:t xml:space="preserve"> ser dividid</w:t>
      </w:r>
      <w:r>
        <w:rPr>
          <w:rFonts w:ascii="Arial" w:hAnsi="Arial" w:cs="Arial"/>
          <w:sz w:val="24"/>
          <w:szCs w:val="24"/>
        </w:rPr>
        <w:t>os</w:t>
      </w:r>
      <w:r w:rsidRPr="00E92CA0">
        <w:rPr>
          <w:rFonts w:ascii="Arial" w:hAnsi="Arial" w:cs="Arial"/>
          <w:sz w:val="24"/>
          <w:szCs w:val="24"/>
        </w:rPr>
        <w:t xml:space="preserve"> em </w:t>
      </w:r>
      <w:r>
        <w:rPr>
          <w:rFonts w:ascii="Arial" w:hAnsi="Arial" w:cs="Arial"/>
          <w:sz w:val="24"/>
          <w:szCs w:val="24"/>
        </w:rPr>
        <w:t>dois grupos</w:t>
      </w:r>
      <w:r w:rsidRPr="00E92CA0">
        <w:rPr>
          <w:rFonts w:ascii="Arial" w:hAnsi="Arial" w:cs="Arial"/>
          <w:sz w:val="24"/>
          <w:szCs w:val="24"/>
        </w:rPr>
        <w:t xml:space="preserve">. </w:t>
      </w:r>
      <w:r>
        <w:rPr>
          <w:rFonts w:ascii="Arial" w:hAnsi="Arial" w:cs="Arial"/>
          <w:sz w:val="24"/>
          <w:szCs w:val="24"/>
        </w:rPr>
        <w:t>O primeiro grupo</w:t>
      </w:r>
      <w:r w:rsidRPr="00E92CA0">
        <w:rPr>
          <w:rFonts w:ascii="Arial" w:hAnsi="Arial" w:cs="Arial"/>
          <w:sz w:val="24"/>
          <w:szCs w:val="24"/>
        </w:rPr>
        <w:t xml:space="preserve"> incorpora os testes que assumem a existência de um processo de raiz unitária comum, tal que os parâmetros para persistência </w:t>
      </w:r>
      <w:r>
        <w:rPr>
          <w:rFonts w:ascii="Arial" w:hAnsi="Arial" w:cs="Arial"/>
          <w:sz w:val="24"/>
          <w:szCs w:val="24"/>
        </w:rPr>
        <w:t>em</w:t>
      </w:r>
      <w:r w:rsidRPr="00E92CA0">
        <w:rPr>
          <w:rFonts w:ascii="Arial" w:hAnsi="Arial" w:cs="Arial"/>
          <w:sz w:val="24"/>
          <w:szCs w:val="24"/>
        </w:rPr>
        <w:t xml:space="preserve"> cada unidade (ou grupo) possuem a mesma estrutura autorregressiva </w:t>
      </w:r>
      <w:r>
        <w:rPr>
          <w:rFonts w:ascii="Arial" w:hAnsi="Arial" w:cs="Arial"/>
          <w:sz w:val="24"/>
          <w:szCs w:val="24"/>
        </w:rPr>
        <w:t>(</w:t>
      </w:r>
      <w:r w:rsidRPr="00E92CA0">
        <w:rPr>
          <w:rFonts w:ascii="Arial" w:hAnsi="Arial" w:cs="Arial"/>
          <w:sz w:val="24"/>
          <w:szCs w:val="24"/>
        </w:rPr>
        <w:t>no caso, processo autorregressivo de ordem um</w:t>
      </w:r>
      <w:r>
        <w:rPr>
          <w:rFonts w:ascii="Arial" w:hAnsi="Arial" w:cs="Arial"/>
          <w:sz w:val="24"/>
          <w:szCs w:val="24"/>
        </w:rPr>
        <w:t>)</w:t>
      </w:r>
      <w:r w:rsidRPr="00E92CA0">
        <w:rPr>
          <w:rFonts w:ascii="Arial" w:hAnsi="Arial" w:cs="Arial"/>
          <w:sz w:val="24"/>
          <w:szCs w:val="24"/>
        </w:rPr>
        <w:t xml:space="preserve">, além de permitir a existência do efeito individual. </w:t>
      </w:r>
      <w:r>
        <w:rPr>
          <w:rFonts w:ascii="Arial" w:hAnsi="Arial" w:cs="Arial"/>
          <w:sz w:val="24"/>
          <w:szCs w:val="24"/>
        </w:rPr>
        <w:t>Pode-se citar</w:t>
      </w:r>
      <w:r w:rsidRPr="00E92CA0">
        <w:rPr>
          <w:rFonts w:ascii="Arial" w:hAnsi="Arial" w:cs="Arial"/>
          <w:sz w:val="24"/>
          <w:szCs w:val="24"/>
        </w:rPr>
        <w:t xml:space="preserve"> os testes propostos por </w:t>
      </w:r>
      <w:proofErr w:type="spellStart"/>
      <w:r w:rsidRPr="00E92CA0">
        <w:rPr>
          <w:rFonts w:ascii="Arial" w:hAnsi="Arial" w:cs="Arial"/>
          <w:sz w:val="24"/>
          <w:szCs w:val="24"/>
        </w:rPr>
        <w:t>Levin</w:t>
      </w:r>
      <w:proofErr w:type="spellEnd"/>
      <w:r>
        <w:rPr>
          <w:rFonts w:ascii="Arial" w:hAnsi="Arial" w:cs="Arial"/>
          <w:sz w:val="24"/>
          <w:szCs w:val="24"/>
        </w:rPr>
        <w:t xml:space="preserve">, </w:t>
      </w:r>
      <w:proofErr w:type="spellStart"/>
      <w:r w:rsidRPr="00E92CA0">
        <w:rPr>
          <w:rFonts w:ascii="Arial" w:hAnsi="Arial" w:cs="Arial"/>
          <w:sz w:val="24"/>
          <w:szCs w:val="24"/>
        </w:rPr>
        <w:t>Lin</w:t>
      </w:r>
      <w:proofErr w:type="spellEnd"/>
      <w:r>
        <w:rPr>
          <w:rFonts w:ascii="Arial" w:hAnsi="Arial" w:cs="Arial"/>
          <w:sz w:val="24"/>
          <w:szCs w:val="24"/>
        </w:rPr>
        <w:t xml:space="preserve"> e </w:t>
      </w:r>
      <w:r w:rsidRPr="00E92CA0">
        <w:rPr>
          <w:rFonts w:ascii="Arial" w:hAnsi="Arial" w:cs="Arial"/>
          <w:sz w:val="24"/>
          <w:szCs w:val="24"/>
        </w:rPr>
        <w:t xml:space="preserve">Chu (2002) e </w:t>
      </w:r>
      <w:proofErr w:type="spellStart"/>
      <w:r w:rsidRPr="00E92CA0">
        <w:rPr>
          <w:rFonts w:ascii="Arial" w:hAnsi="Arial" w:cs="Arial"/>
          <w:sz w:val="24"/>
          <w:szCs w:val="24"/>
        </w:rPr>
        <w:t>Breitung</w:t>
      </w:r>
      <w:proofErr w:type="spellEnd"/>
      <w:r w:rsidRPr="00E92CA0">
        <w:rPr>
          <w:rFonts w:ascii="Arial" w:hAnsi="Arial" w:cs="Arial"/>
          <w:sz w:val="24"/>
          <w:szCs w:val="24"/>
        </w:rPr>
        <w:t xml:space="preserve"> (2000)</w:t>
      </w:r>
      <w:r>
        <w:rPr>
          <w:rFonts w:ascii="Arial" w:hAnsi="Arial" w:cs="Arial"/>
          <w:sz w:val="24"/>
          <w:szCs w:val="24"/>
        </w:rPr>
        <w:t>.</w:t>
      </w:r>
    </w:p>
    <w:p w14:paraId="66AE4ACA" w14:textId="77777777" w:rsidR="00503090" w:rsidRDefault="00503090" w:rsidP="00503090">
      <w:pPr>
        <w:spacing w:after="0" w:line="360" w:lineRule="auto"/>
        <w:ind w:firstLine="708"/>
        <w:contextualSpacing/>
        <w:jc w:val="both"/>
        <w:rPr>
          <w:rFonts w:ascii="Arial" w:hAnsi="Arial" w:cs="Arial"/>
          <w:sz w:val="24"/>
          <w:szCs w:val="24"/>
        </w:rPr>
      </w:pPr>
    </w:p>
    <w:p w14:paraId="02E49C7F" w14:textId="77777777" w:rsidR="00B406F3" w:rsidRPr="00E92CA0" w:rsidRDefault="00B406F3" w:rsidP="00503090">
      <w:pPr>
        <w:spacing w:after="0" w:line="360" w:lineRule="auto"/>
        <w:contextualSpacing/>
        <w:jc w:val="both"/>
        <w:rPr>
          <w:rFonts w:ascii="Arial" w:hAnsi="Arial" w:cs="Arial"/>
          <w:sz w:val="24"/>
        </w:rPr>
      </w:pPr>
      <w:r w:rsidRPr="00E92CA0">
        <w:rPr>
          <w:rFonts w:ascii="Arial" w:hAnsi="Arial" w:cs="Arial"/>
          <w:sz w:val="28"/>
          <w:szCs w:val="24"/>
        </w:rPr>
        <w:tab/>
      </w:r>
      <w:proofErr w:type="spellStart"/>
      <w:r w:rsidRPr="00E92CA0">
        <w:rPr>
          <w:rFonts w:ascii="Arial" w:hAnsi="Arial" w:cs="Arial"/>
          <w:sz w:val="24"/>
        </w:rPr>
        <w:t>Breitung</w:t>
      </w:r>
      <w:proofErr w:type="spellEnd"/>
      <w:r w:rsidRPr="00E92CA0">
        <w:rPr>
          <w:rFonts w:ascii="Arial" w:hAnsi="Arial" w:cs="Arial"/>
          <w:sz w:val="24"/>
        </w:rPr>
        <w:t xml:space="preserve"> (2000) considera uma versão, em dados de painel, do teste de raiz unitária de </w:t>
      </w:r>
      <w:proofErr w:type="spellStart"/>
      <w:r w:rsidRPr="00E92CA0">
        <w:rPr>
          <w:rFonts w:ascii="Arial" w:hAnsi="Arial" w:cs="Arial"/>
          <w:sz w:val="24"/>
        </w:rPr>
        <w:t>Dickey-Fuller</w:t>
      </w:r>
      <w:proofErr w:type="spellEnd"/>
      <w:r w:rsidRPr="00E92CA0">
        <w:rPr>
          <w:rFonts w:ascii="Arial" w:hAnsi="Arial" w:cs="Arial"/>
          <w:sz w:val="24"/>
        </w:rPr>
        <w:t xml:space="preserve"> aumentado (ADF) que restringe</w:t>
      </w:r>
      <w:r>
        <w:rPr>
          <w:rFonts w:ascii="Arial" w:hAnsi="Arial" w:cs="Arial"/>
          <w:sz w:val="24"/>
        </w:rPr>
        <w:t xml:space="preserve"> o coeficiente</w:t>
      </w:r>
      <w:r w:rsidRPr="00E92CA0">
        <w:rPr>
          <w:rFonts w:ascii="Arial" w:hAnsi="Arial" w:cs="Arial"/>
          <w:sz w:val="24"/>
        </w:rPr>
        <w:t xml:space="preserve"> </w:t>
      </w:r>
      <m:oMath>
        <m:r>
          <w:rPr>
            <w:rFonts w:ascii="Cambria Math" w:hAnsi="Cambria Math" w:cs="Arial"/>
            <w:sz w:val="24"/>
          </w:rPr>
          <m:t>ρ</m:t>
        </m:r>
      </m:oMath>
      <w:r w:rsidRPr="00E92CA0">
        <w:rPr>
          <w:rFonts w:ascii="Arial" w:hAnsi="Arial" w:cs="Arial"/>
          <w:sz w:val="24"/>
        </w:rPr>
        <w:t xml:space="preserve"> a ser idêntico através de todas as unidades </w:t>
      </w:r>
      <w:r w:rsidRPr="00E92CA0">
        <w:rPr>
          <w:rFonts w:ascii="Arial" w:hAnsi="Arial" w:cs="Arial"/>
          <w:i/>
          <w:sz w:val="24"/>
        </w:rPr>
        <w:t>cross-section</w:t>
      </w:r>
      <w:r w:rsidRPr="00E92CA0">
        <w:rPr>
          <w:rFonts w:ascii="Arial" w:hAnsi="Arial" w:cs="Arial"/>
          <w:sz w:val="24"/>
        </w:rPr>
        <w:t xml:space="preserve">, mas permite que a ordem de defasagens para os termos de primeiras diferenças varie através das unidades </w:t>
      </w:r>
      <w:r w:rsidRPr="00E92CA0">
        <w:rPr>
          <w:rFonts w:ascii="Arial" w:hAnsi="Arial" w:cs="Arial"/>
          <w:i/>
          <w:sz w:val="24"/>
        </w:rPr>
        <w:t>cross-section</w:t>
      </w:r>
      <w:r w:rsidRPr="00E92CA0">
        <w:rPr>
          <w:rFonts w:ascii="Arial" w:hAnsi="Arial" w:cs="Arial"/>
          <w:sz w:val="24"/>
        </w:rPr>
        <w:t>:</w:t>
      </w:r>
    </w:p>
    <w:p w14:paraId="17546F1C" w14:textId="063C3B28" w:rsidR="00B406F3" w:rsidRPr="00AD6906" w:rsidRDefault="00B406F3" w:rsidP="00B406F3">
      <w:pPr>
        <w:spacing w:after="0" w:line="480" w:lineRule="auto"/>
        <w:contextualSpacing/>
        <w:jc w:val="both"/>
        <w:rPr>
          <w:rFonts w:ascii="Arial" w:hAnsi="Arial" w:cs="Arial"/>
          <w:sz w:val="24"/>
        </w:rPr>
      </w:pPr>
      <m:oMathPara>
        <m:oMathParaPr>
          <m:jc m:val="left"/>
        </m:oMathParaPr>
        <m:oMath>
          <m:r>
            <w:rPr>
              <w:rFonts w:ascii="Cambria Math" w:hAnsi="Cambria Math" w:cs="Arial"/>
              <w:sz w:val="24"/>
            </w:rPr>
            <m:t>∆</m:t>
          </m:r>
          <m:sSub>
            <m:sSubPr>
              <m:ctrlPr>
                <w:rPr>
                  <w:rFonts w:ascii="Cambria Math" w:hAnsi="Cambria Math" w:cs="Arial"/>
                  <w:i/>
                  <w:sz w:val="24"/>
                </w:rPr>
              </m:ctrlPr>
            </m:sSubPr>
            <m:e>
              <m:r>
                <w:rPr>
                  <w:rFonts w:ascii="Cambria Math" w:hAnsi="Cambria Math" w:cs="Arial"/>
                  <w:sz w:val="24"/>
                </w:rPr>
                <m:t>y</m:t>
              </m:r>
            </m:e>
            <m:sub>
              <m:r>
                <w:rPr>
                  <w:rFonts w:ascii="Cambria Math" w:hAnsi="Cambria Math" w:cs="Arial"/>
                  <w:sz w:val="24"/>
                </w:rPr>
                <m:t>it</m:t>
              </m:r>
            </m:sub>
          </m:sSub>
          <m:r>
            <w:rPr>
              <w:rFonts w:ascii="Cambria Math" w:hAnsi="Cambria Math" w:cs="Arial"/>
              <w:sz w:val="24"/>
            </w:rPr>
            <m:t>=</m:t>
          </m:r>
          <m:sSub>
            <m:sSubPr>
              <m:ctrlPr>
                <w:rPr>
                  <w:rFonts w:ascii="Cambria Math" w:hAnsi="Cambria Math" w:cs="Arial"/>
                  <w:i/>
                  <w:sz w:val="24"/>
                </w:rPr>
              </m:ctrlPr>
            </m:sSubPr>
            <m:e>
              <m:r>
                <w:rPr>
                  <w:rFonts w:ascii="Cambria Math" w:hAnsi="Cambria Math" w:cs="Arial"/>
                  <w:sz w:val="24"/>
                </w:rPr>
                <m:t>μ</m:t>
              </m:r>
            </m:e>
            <m:sub>
              <m:r>
                <w:rPr>
                  <w:rFonts w:ascii="Cambria Math" w:hAnsi="Cambria Math" w:cs="Arial"/>
                  <w:sz w:val="24"/>
                </w:rPr>
                <m:t>i</m:t>
              </m:r>
            </m:sub>
          </m:sSub>
          <m:r>
            <w:rPr>
              <w:rFonts w:ascii="Cambria Math" w:hAnsi="Cambria Math" w:cs="Arial"/>
              <w:sz w:val="24"/>
            </w:rPr>
            <m:t>+ρ</m:t>
          </m:r>
          <m:sSub>
            <m:sSubPr>
              <m:ctrlPr>
                <w:rPr>
                  <w:rFonts w:ascii="Cambria Math" w:hAnsi="Cambria Math" w:cs="Arial"/>
                  <w:i/>
                  <w:sz w:val="24"/>
                </w:rPr>
              </m:ctrlPr>
            </m:sSubPr>
            <m:e>
              <m:r>
                <w:rPr>
                  <w:rFonts w:ascii="Cambria Math" w:hAnsi="Cambria Math" w:cs="Arial"/>
                  <w:sz w:val="24"/>
                </w:rPr>
                <m:t>y</m:t>
              </m:r>
            </m:e>
            <m:sub>
              <m:r>
                <w:rPr>
                  <w:rFonts w:ascii="Cambria Math" w:hAnsi="Cambria Math" w:cs="Arial"/>
                  <w:sz w:val="24"/>
                </w:rPr>
                <m:t>i,t-1</m:t>
              </m:r>
            </m:sub>
          </m:sSub>
          <m:r>
            <w:rPr>
              <w:rFonts w:ascii="Cambria Math" w:hAnsi="Cambria Math" w:cs="Arial"/>
              <w:sz w:val="24"/>
            </w:rPr>
            <m:t>+</m:t>
          </m:r>
          <m:nary>
            <m:naryPr>
              <m:chr m:val="∑"/>
              <m:limLoc m:val="undOvr"/>
              <m:ctrlPr>
                <w:rPr>
                  <w:rFonts w:ascii="Cambria Math" w:hAnsi="Cambria Math" w:cs="Arial"/>
                  <w:i/>
                  <w:sz w:val="24"/>
                </w:rPr>
              </m:ctrlPr>
            </m:naryPr>
            <m:sub>
              <m:r>
                <w:rPr>
                  <w:rFonts w:ascii="Cambria Math" w:hAnsi="Cambria Math" w:cs="Arial"/>
                  <w:sz w:val="24"/>
                </w:rPr>
                <m:t>j=1</m:t>
              </m:r>
            </m:sub>
            <m:sup>
              <m:r>
                <w:rPr>
                  <w:rFonts w:ascii="Cambria Math" w:hAnsi="Cambria Math" w:cs="Arial"/>
                  <w:sz w:val="24"/>
                </w:rPr>
                <m:t>k</m:t>
              </m:r>
            </m:sup>
            <m:e>
              <m:sSub>
                <m:sSubPr>
                  <m:ctrlPr>
                    <w:rPr>
                      <w:rFonts w:ascii="Cambria Math" w:hAnsi="Cambria Math" w:cs="Arial"/>
                      <w:i/>
                      <w:sz w:val="24"/>
                    </w:rPr>
                  </m:ctrlPr>
                </m:sSubPr>
                <m:e>
                  <m:r>
                    <w:rPr>
                      <w:rFonts w:ascii="Cambria Math" w:hAnsi="Cambria Math" w:cs="Arial"/>
                      <w:sz w:val="24"/>
                    </w:rPr>
                    <m:t>θ</m:t>
                  </m:r>
                </m:e>
                <m:sub>
                  <m:r>
                    <w:rPr>
                      <w:rFonts w:ascii="Cambria Math" w:hAnsi="Cambria Math" w:cs="Arial"/>
                      <w:sz w:val="24"/>
                    </w:rPr>
                    <m:t>ik</m:t>
                  </m:r>
                </m:sub>
              </m:sSub>
              <m:r>
                <m:rPr>
                  <m:sty m:val="p"/>
                </m:rPr>
                <w:rPr>
                  <w:rFonts w:ascii="Cambria Math" w:hAnsi="Cambria Math" w:cs="Arial"/>
                  <w:sz w:val="24"/>
                </w:rPr>
                <m:t>Δ</m:t>
              </m:r>
              <m:sSub>
                <m:sSubPr>
                  <m:ctrlPr>
                    <w:rPr>
                      <w:rFonts w:ascii="Cambria Math" w:hAnsi="Cambria Math" w:cs="Arial"/>
                      <w:i/>
                      <w:sz w:val="24"/>
                    </w:rPr>
                  </m:ctrlPr>
                </m:sSubPr>
                <m:e>
                  <m:r>
                    <w:rPr>
                      <w:rFonts w:ascii="Cambria Math" w:hAnsi="Cambria Math" w:cs="Arial"/>
                      <w:sz w:val="24"/>
                    </w:rPr>
                    <m:t>y</m:t>
                  </m:r>
                </m:e>
                <m:sub>
                  <m:r>
                    <w:rPr>
                      <w:rFonts w:ascii="Cambria Math" w:hAnsi="Cambria Math" w:cs="Arial"/>
                      <w:sz w:val="24"/>
                    </w:rPr>
                    <m:t>it-k</m:t>
                  </m:r>
                </m:sub>
              </m:sSub>
            </m:e>
          </m:nary>
          <m:r>
            <w:rPr>
              <w:rFonts w:ascii="Cambria Math" w:hAnsi="Cambria Math" w:cs="Arial"/>
              <w:sz w:val="24"/>
            </w:rPr>
            <m:t>+</m:t>
          </m:r>
          <m:sSub>
            <m:sSubPr>
              <m:ctrlPr>
                <w:rPr>
                  <w:rFonts w:ascii="Cambria Math" w:hAnsi="Cambria Math" w:cs="Arial"/>
                  <w:i/>
                  <w:sz w:val="24"/>
                </w:rPr>
              </m:ctrlPr>
            </m:sSubPr>
            <m:e>
              <m:r>
                <w:rPr>
                  <w:rFonts w:ascii="Cambria Math" w:hAnsi="Cambria Math" w:cs="Arial"/>
                  <w:sz w:val="24"/>
                </w:rPr>
                <m:t>β</m:t>
              </m:r>
            </m:e>
            <m:sub>
              <m:r>
                <w:rPr>
                  <w:rFonts w:ascii="Cambria Math" w:hAnsi="Cambria Math" w:cs="Arial"/>
                  <w:sz w:val="24"/>
                </w:rPr>
                <m:t>i</m:t>
              </m:r>
            </m:sub>
          </m:sSub>
          <m:r>
            <w:rPr>
              <w:rFonts w:ascii="Cambria Math" w:hAnsi="Cambria Math" w:cs="Arial"/>
              <w:sz w:val="24"/>
            </w:rPr>
            <m:t>t+</m:t>
          </m:r>
          <m:sSub>
            <m:sSubPr>
              <m:ctrlPr>
                <w:rPr>
                  <w:rFonts w:ascii="Cambria Math" w:hAnsi="Cambria Math" w:cs="Arial"/>
                  <w:i/>
                  <w:sz w:val="24"/>
                </w:rPr>
              </m:ctrlPr>
            </m:sSubPr>
            <m:e>
              <m:r>
                <w:rPr>
                  <w:rFonts w:ascii="Cambria Math" w:hAnsi="Cambria Math" w:cs="Arial"/>
                  <w:sz w:val="24"/>
                </w:rPr>
                <m:t>ξ</m:t>
              </m:r>
            </m:e>
            <m:sub>
              <m:r>
                <w:rPr>
                  <w:rFonts w:ascii="Cambria Math" w:hAnsi="Cambria Math" w:cs="Arial"/>
                  <w:sz w:val="24"/>
                </w:rPr>
                <m:t>it</m:t>
              </m:r>
            </m:sub>
          </m:sSub>
          <m:r>
            <w:rPr>
              <w:rFonts w:ascii="Cambria Math" w:hAnsi="Cambria Math" w:cs="Arial"/>
              <w:sz w:val="24"/>
            </w:rPr>
            <m:t xml:space="preserve">      </m:t>
          </m:r>
          <m:d>
            <m:dPr>
              <m:ctrlPr>
                <w:rPr>
                  <w:rFonts w:ascii="Cambria Math" w:hAnsi="Cambria Math" w:cs="Arial"/>
                  <w:i/>
                  <w:sz w:val="24"/>
                </w:rPr>
              </m:ctrlPr>
            </m:dPr>
            <m:e>
              <m:r>
                <w:rPr>
                  <w:rFonts w:ascii="Cambria Math" w:hAnsi="Cambria Math" w:cs="Arial"/>
                  <w:sz w:val="24"/>
                </w:rPr>
                <m:t>6</m:t>
              </m:r>
            </m:e>
          </m:d>
        </m:oMath>
      </m:oMathPara>
    </w:p>
    <w:p w14:paraId="1D3736C7" w14:textId="4033FE89" w:rsidR="00B406F3" w:rsidRDefault="00503090" w:rsidP="00503090">
      <w:pPr>
        <w:spacing w:after="0" w:line="360" w:lineRule="auto"/>
        <w:ind w:firstLine="708"/>
        <w:contextualSpacing/>
        <w:jc w:val="both"/>
        <w:rPr>
          <w:rFonts w:ascii="Arial" w:hAnsi="Arial" w:cs="Arial"/>
          <w:sz w:val="24"/>
        </w:rPr>
      </w:pPr>
      <w:r>
        <w:rPr>
          <w:rFonts w:ascii="Arial" w:hAnsi="Arial" w:cs="Arial"/>
          <w:sz w:val="24"/>
        </w:rPr>
        <w:t>E</w:t>
      </w:r>
      <w:r w:rsidR="00B406F3" w:rsidRPr="00E92CA0">
        <w:rPr>
          <w:rFonts w:ascii="Arial" w:hAnsi="Arial" w:cs="Arial"/>
          <w:sz w:val="24"/>
        </w:rPr>
        <w:t xml:space="preserve">m que </w:t>
      </w:r>
      <m:oMath>
        <m:r>
          <w:rPr>
            <w:rFonts w:ascii="Cambria Math" w:hAnsi="Cambria Math" w:cs="Arial"/>
            <w:sz w:val="24"/>
          </w:rPr>
          <m:t>∆</m:t>
        </m:r>
      </m:oMath>
      <w:r w:rsidR="00B406F3" w:rsidRPr="00E92CA0">
        <w:rPr>
          <w:rFonts w:ascii="Arial" w:hAnsi="Arial" w:cs="Arial"/>
          <w:sz w:val="24"/>
        </w:rPr>
        <w:t xml:space="preserve"> é o operador em primeiras diferenças</w:t>
      </w:r>
      <w:r w:rsidR="00B406F3">
        <w:rPr>
          <w:rFonts w:ascii="Arial" w:hAnsi="Arial" w:cs="Arial"/>
          <w:sz w:val="24"/>
        </w:rPr>
        <w:t>;</w:t>
      </w:r>
      <w:r w:rsidR="00B406F3" w:rsidRPr="00E92CA0">
        <w:rPr>
          <w:rFonts w:ascii="Arial" w:hAnsi="Arial" w:cs="Arial"/>
          <w:sz w:val="24"/>
        </w:rPr>
        <w:t xml:space="preserve"> </w:t>
      </w:r>
      <m:oMath>
        <m:r>
          <w:rPr>
            <w:rFonts w:ascii="Cambria Math" w:hAnsi="Cambria Math" w:cs="Arial"/>
            <w:sz w:val="24"/>
          </w:rPr>
          <m:t>k</m:t>
        </m:r>
      </m:oMath>
      <w:r w:rsidR="00B406F3" w:rsidRPr="00E92CA0">
        <w:rPr>
          <w:rFonts w:ascii="Arial" w:hAnsi="Arial" w:cs="Arial"/>
          <w:sz w:val="24"/>
        </w:rPr>
        <w:t xml:space="preserve"> é o comprimento das defasagens</w:t>
      </w:r>
      <w:r w:rsidR="00B406F3">
        <w:rPr>
          <w:rFonts w:ascii="Arial" w:hAnsi="Arial" w:cs="Arial"/>
          <w:sz w:val="24"/>
        </w:rPr>
        <w:t>;</w:t>
      </w:r>
      <w:r w:rsidR="00B406F3" w:rsidRPr="00E92CA0">
        <w:rPr>
          <w:rFonts w:ascii="Arial" w:hAnsi="Arial" w:cs="Arial"/>
          <w:sz w:val="24"/>
        </w:rPr>
        <w:t xml:space="preserve"> </w:t>
      </w:r>
      <m:oMath>
        <m:sSub>
          <m:sSubPr>
            <m:ctrlPr>
              <w:rPr>
                <w:rFonts w:ascii="Cambria Math" w:hAnsi="Cambria Math" w:cs="Arial"/>
                <w:i/>
                <w:sz w:val="24"/>
              </w:rPr>
            </m:ctrlPr>
          </m:sSubPr>
          <m:e>
            <m:r>
              <w:rPr>
                <w:rFonts w:ascii="Cambria Math" w:hAnsi="Cambria Math" w:cs="Arial"/>
                <w:sz w:val="24"/>
              </w:rPr>
              <m:t>μ</m:t>
            </m:r>
          </m:e>
          <m:sub>
            <m:r>
              <w:rPr>
                <w:rFonts w:ascii="Cambria Math" w:hAnsi="Cambria Math" w:cs="Arial"/>
                <w:sz w:val="24"/>
              </w:rPr>
              <m:t>i</m:t>
            </m:r>
          </m:sub>
        </m:sSub>
      </m:oMath>
      <w:r w:rsidR="00B406F3" w:rsidRPr="00E92CA0">
        <w:rPr>
          <w:rFonts w:ascii="Arial" w:hAnsi="Arial" w:cs="Arial"/>
          <w:sz w:val="24"/>
        </w:rPr>
        <w:t xml:space="preserve"> é um efeito fixo específico unitário</w:t>
      </w:r>
      <w:r w:rsidR="00B406F3">
        <w:rPr>
          <w:rFonts w:ascii="Arial" w:hAnsi="Arial" w:cs="Arial"/>
          <w:sz w:val="24"/>
        </w:rPr>
        <w:t xml:space="preserve">; </w:t>
      </w:r>
      <m:oMath>
        <m:sSub>
          <m:sSubPr>
            <m:ctrlPr>
              <w:rPr>
                <w:rFonts w:ascii="Cambria Math" w:hAnsi="Cambria Math" w:cs="Arial"/>
                <w:i/>
                <w:sz w:val="24"/>
              </w:rPr>
            </m:ctrlPr>
          </m:sSubPr>
          <m:e>
            <m:r>
              <w:rPr>
                <w:rFonts w:ascii="Cambria Math" w:hAnsi="Cambria Math" w:cs="Arial"/>
                <w:sz w:val="24"/>
              </w:rPr>
              <m:t>β</m:t>
            </m:r>
          </m:e>
          <m:sub>
            <m:r>
              <w:rPr>
                <w:rFonts w:ascii="Cambria Math" w:hAnsi="Cambria Math" w:cs="Arial"/>
                <w:sz w:val="24"/>
              </w:rPr>
              <m:t>i</m:t>
            </m:r>
          </m:sub>
        </m:sSub>
        <m:r>
          <w:rPr>
            <w:rFonts w:ascii="Cambria Math" w:hAnsi="Cambria Math" w:cs="Arial"/>
            <w:sz w:val="24"/>
          </w:rPr>
          <m:t>t</m:t>
        </m:r>
      </m:oMath>
      <w:r w:rsidR="00B406F3">
        <w:rPr>
          <w:rFonts w:ascii="Arial" w:hAnsi="Arial" w:cs="Arial"/>
          <w:sz w:val="24"/>
        </w:rPr>
        <w:t xml:space="preserve"> é uma tendência determinística</w:t>
      </w:r>
      <w:r w:rsidR="00B406F3" w:rsidRPr="00E92CA0">
        <w:rPr>
          <w:rFonts w:ascii="Arial" w:hAnsi="Arial" w:cs="Arial"/>
          <w:sz w:val="24"/>
        </w:rPr>
        <w:t xml:space="preserve">. O subscrito </w:t>
      </w:r>
      <m:oMath>
        <m:r>
          <w:rPr>
            <w:rFonts w:ascii="Cambria Math" w:hAnsi="Cambria Math" w:cs="Arial"/>
            <w:sz w:val="24"/>
          </w:rPr>
          <m:t>i=1,…,N</m:t>
        </m:r>
      </m:oMath>
      <w:r w:rsidR="00B406F3" w:rsidRPr="00E92CA0">
        <w:rPr>
          <w:rFonts w:ascii="Arial" w:hAnsi="Arial" w:cs="Arial"/>
          <w:sz w:val="24"/>
        </w:rPr>
        <w:t xml:space="preserve"> indexa as unidades de corte transversal. A equação (1) acima é estimada por meio de mínimos quadrados ordinários</w:t>
      </w:r>
      <w:r w:rsidR="00B406F3">
        <w:rPr>
          <w:rFonts w:ascii="Arial" w:hAnsi="Arial" w:cs="Arial"/>
          <w:sz w:val="24"/>
        </w:rPr>
        <w:t xml:space="preserve"> (MQO)</w:t>
      </w:r>
      <w:r w:rsidR="00B406F3" w:rsidRPr="00E92CA0">
        <w:rPr>
          <w:rFonts w:ascii="Arial" w:hAnsi="Arial" w:cs="Arial"/>
          <w:sz w:val="24"/>
        </w:rPr>
        <w:t xml:space="preserve">. Sob a hipótese nula </w:t>
      </w:r>
      <m:oMath>
        <m:d>
          <m:dPr>
            <m:ctrlPr>
              <w:rPr>
                <w:rFonts w:ascii="Cambria Math" w:hAnsi="Cambria Math" w:cs="Arial"/>
                <w:i/>
                <w:sz w:val="24"/>
              </w:rPr>
            </m:ctrlPr>
          </m:dPr>
          <m:e>
            <m:sSub>
              <m:sSubPr>
                <m:ctrlPr>
                  <w:rPr>
                    <w:rFonts w:ascii="Cambria Math" w:hAnsi="Cambria Math" w:cs="Arial"/>
                    <w:i/>
                    <w:sz w:val="24"/>
                  </w:rPr>
                </m:ctrlPr>
              </m:sSubPr>
              <m:e>
                <m:r>
                  <w:rPr>
                    <w:rFonts w:ascii="Cambria Math" w:hAnsi="Cambria Math" w:cs="Arial"/>
                    <w:sz w:val="24"/>
                  </w:rPr>
                  <m:t>H</m:t>
                </m:r>
              </m:e>
              <m:sub>
                <m:r>
                  <w:rPr>
                    <w:rFonts w:ascii="Cambria Math" w:hAnsi="Cambria Math" w:cs="Arial"/>
                    <w:sz w:val="24"/>
                  </w:rPr>
                  <m:t>0</m:t>
                </m:r>
              </m:sub>
            </m:sSub>
            <m:r>
              <w:rPr>
                <w:rFonts w:ascii="Cambria Math" w:hAnsi="Cambria Math" w:cs="Arial"/>
                <w:sz w:val="24"/>
              </w:rPr>
              <m:t>:ρ=0</m:t>
            </m:r>
          </m:e>
        </m:d>
      </m:oMath>
      <w:r w:rsidR="00B406F3" w:rsidRPr="00E92CA0">
        <w:rPr>
          <w:rFonts w:ascii="Arial" w:hAnsi="Arial" w:cs="Arial"/>
          <w:sz w:val="24"/>
        </w:rPr>
        <w:t xml:space="preserve">, existe uma raiz unitária, ao passo que a hipótese alternativa </w:t>
      </w:r>
      <m:oMath>
        <m:d>
          <m:dPr>
            <m:ctrlPr>
              <w:rPr>
                <w:rFonts w:ascii="Cambria Math" w:hAnsi="Cambria Math" w:cs="Arial"/>
                <w:i/>
                <w:sz w:val="24"/>
              </w:rPr>
            </m:ctrlPr>
          </m:dPr>
          <m:e>
            <m:sSub>
              <m:sSubPr>
                <m:ctrlPr>
                  <w:rPr>
                    <w:rFonts w:ascii="Cambria Math" w:hAnsi="Cambria Math" w:cs="Arial"/>
                    <w:i/>
                    <w:sz w:val="24"/>
                  </w:rPr>
                </m:ctrlPr>
              </m:sSubPr>
              <m:e>
                <m:r>
                  <w:rPr>
                    <w:rFonts w:ascii="Cambria Math" w:hAnsi="Cambria Math" w:cs="Arial"/>
                    <w:sz w:val="24"/>
                  </w:rPr>
                  <m:t>H</m:t>
                </m:r>
              </m:e>
              <m:sub>
                <m:r>
                  <w:rPr>
                    <w:rFonts w:ascii="Cambria Math" w:hAnsi="Cambria Math" w:cs="Arial"/>
                    <w:sz w:val="24"/>
                  </w:rPr>
                  <m:t>1</m:t>
                </m:r>
              </m:sub>
            </m:sSub>
            <m:r>
              <w:rPr>
                <w:rFonts w:ascii="Cambria Math" w:hAnsi="Cambria Math" w:cs="Arial"/>
                <w:sz w:val="24"/>
              </w:rPr>
              <m:t>:ρ&lt;0</m:t>
            </m:r>
          </m:e>
        </m:d>
      </m:oMath>
      <w:r w:rsidR="00B406F3" w:rsidRPr="00E92CA0">
        <w:rPr>
          <w:rFonts w:ascii="Arial" w:hAnsi="Arial" w:cs="Arial"/>
          <w:sz w:val="24"/>
        </w:rPr>
        <w:t xml:space="preserve"> indica a inexistência de raiz unitária. Assim, o Teste de Breitung (2000) assume homogeneidade entre as raízes unitárias </w:t>
      </w:r>
      <w:r w:rsidR="00B406F3" w:rsidRPr="007A04D5">
        <w:rPr>
          <w:rFonts w:ascii="Arial" w:hAnsi="Arial" w:cs="Arial"/>
          <w:i/>
          <w:sz w:val="24"/>
        </w:rPr>
        <w:t>cross-section</w:t>
      </w:r>
      <w:r w:rsidR="00B406F3" w:rsidRPr="00E92CA0">
        <w:rPr>
          <w:rFonts w:ascii="Arial" w:hAnsi="Arial" w:cs="Arial"/>
          <w:sz w:val="24"/>
        </w:rPr>
        <w:t>, de modo que todas as unidades possuem um processo comum de raiz unitária.</w:t>
      </w:r>
    </w:p>
    <w:p w14:paraId="25B8A43D" w14:textId="77777777" w:rsidR="00503090" w:rsidRPr="00E92CA0" w:rsidRDefault="00503090" w:rsidP="00503090">
      <w:pPr>
        <w:spacing w:after="0" w:line="360" w:lineRule="auto"/>
        <w:ind w:firstLine="708"/>
        <w:contextualSpacing/>
        <w:jc w:val="both"/>
        <w:rPr>
          <w:rFonts w:ascii="Arial" w:hAnsi="Arial" w:cs="Arial"/>
          <w:sz w:val="24"/>
        </w:rPr>
      </w:pPr>
    </w:p>
    <w:p w14:paraId="6A3D4436" w14:textId="77777777" w:rsidR="00B406F3" w:rsidRPr="00E92CA0" w:rsidRDefault="00B406F3" w:rsidP="00503090">
      <w:pPr>
        <w:spacing w:after="0" w:line="360" w:lineRule="auto"/>
        <w:ind w:firstLine="708"/>
        <w:contextualSpacing/>
        <w:jc w:val="both"/>
        <w:rPr>
          <w:rFonts w:ascii="Arial" w:hAnsi="Arial" w:cs="Arial"/>
          <w:sz w:val="24"/>
          <w:szCs w:val="24"/>
        </w:rPr>
      </w:pPr>
      <w:r w:rsidRPr="00E92CA0">
        <w:rPr>
          <w:rFonts w:ascii="Arial" w:hAnsi="Arial" w:cs="Arial"/>
          <w:sz w:val="24"/>
          <w:szCs w:val="24"/>
        </w:rPr>
        <w:t xml:space="preserve">O teste de raiz unitária em painel proposto por </w:t>
      </w:r>
      <w:proofErr w:type="spellStart"/>
      <w:r w:rsidRPr="00E92CA0">
        <w:rPr>
          <w:rFonts w:ascii="Arial" w:hAnsi="Arial" w:cs="Arial"/>
          <w:sz w:val="24"/>
          <w:szCs w:val="24"/>
        </w:rPr>
        <w:t>Levin</w:t>
      </w:r>
      <w:proofErr w:type="spellEnd"/>
      <w:r w:rsidRPr="00E92CA0">
        <w:rPr>
          <w:rFonts w:ascii="Arial" w:hAnsi="Arial" w:cs="Arial"/>
          <w:sz w:val="24"/>
          <w:szCs w:val="24"/>
        </w:rPr>
        <w:t>-</w:t>
      </w:r>
      <w:proofErr w:type="spellStart"/>
      <w:r w:rsidRPr="00E92CA0">
        <w:rPr>
          <w:rFonts w:ascii="Arial" w:hAnsi="Arial" w:cs="Arial"/>
          <w:sz w:val="24"/>
          <w:szCs w:val="24"/>
        </w:rPr>
        <w:t>Lin-Chu</w:t>
      </w:r>
      <w:proofErr w:type="spellEnd"/>
      <w:r w:rsidRPr="00E92CA0">
        <w:rPr>
          <w:rFonts w:ascii="Arial" w:hAnsi="Arial" w:cs="Arial"/>
          <w:sz w:val="24"/>
          <w:szCs w:val="24"/>
        </w:rPr>
        <w:t xml:space="preserve"> (2002), conhecido por LLC, utiliza da equação básica de </w:t>
      </w:r>
      <w:proofErr w:type="spellStart"/>
      <w:r w:rsidRPr="00E92CA0">
        <w:rPr>
          <w:rFonts w:ascii="Arial" w:hAnsi="Arial" w:cs="Arial"/>
          <w:sz w:val="24"/>
          <w:szCs w:val="24"/>
        </w:rPr>
        <w:t>Dickey-Fuller</w:t>
      </w:r>
      <w:proofErr w:type="spellEnd"/>
      <w:r w:rsidRPr="00E92CA0">
        <w:rPr>
          <w:rFonts w:ascii="Arial" w:hAnsi="Arial" w:cs="Arial"/>
          <w:sz w:val="24"/>
          <w:szCs w:val="24"/>
        </w:rPr>
        <w:t xml:space="preserve"> (ADF) e incorpora o comportamento entre grupos, acarretando </w:t>
      </w:r>
      <w:proofErr w:type="gramStart"/>
      <w:r w:rsidRPr="00E92CA0">
        <w:rPr>
          <w:rFonts w:ascii="Arial" w:hAnsi="Arial" w:cs="Arial"/>
          <w:sz w:val="24"/>
          <w:szCs w:val="24"/>
        </w:rPr>
        <w:t>na</w:t>
      </w:r>
      <w:proofErr w:type="gramEnd"/>
      <w:r w:rsidRPr="00E92CA0">
        <w:rPr>
          <w:rFonts w:ascii="Arial" w:hAnsi="Arial" w:cs="Arial"/>
          <w:sz w:val="24"/>
          <w:szCs w:val="24"/>
        </w:rPr>
        <w:t xml:space="preserve"> estimação do seguinte modelo:</w:t>
      </w:r>
    </w:p>
    <w:p w14:paraId="4B6EB63D" w14:textId="4FB63370" w:rsidR="00B406F3" w:rsidRPr="00E92CA0" w:rsidRDefault="00B406F3" w:rsidP="00B406F3">
      <w:pPr>
        <w:jc w:val="both"/>
      </w:pPr>
      <m:oMathPara>
        <m:oMathParaPr>
          <m:jc m:val="left"/>
        </m:oMathParaPr>
        <m:oMath>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y</m:t>
              </m:r>
            </m:e>
            <m:sub>
              <m:r>
                <w:rPr>
                  <w:rFonts w:ascii="Cambria Math" w:hAnsi="Cambria Math" w:cs="Times New Roman"/>
                  <w:sz w:val="24"/>
                </w:rPr>
                <m:t>it</m:t>
              </m:r>
            </m:sub>
          </m:sSub>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μ</m:t>
              </m:r>
            </m:e>
            <m:sub>
              <m:r>
                <w:rPr>
                  <w:rFonts w:ascii="Cambria Math" w:hAnsi="Cambria Math" w:cs="Times New Roman"/>
                  <w:sz w:val="24"/>
                </w:rPr>
                <m:t>i</m:t>
              </m:r>
            </m:sub>
          </m:sSub>
          <m:r>
            <w:rPr>
              <w:rFonts w:ascii="Cambria Math" w:hAnsi="Cambria Math" w:cs="Times New Roman"/>
              <w:sz w:val="24"/>
            </w:rPr>
            <m:t>+ρ</m:t>
          </m:r>
          <m:sSub>
            <m:sSubPr>
              <m:ctrlPr>
                <w:rPr>
                  <w:rFonts w:ascii="Cambria Math" w:hAnsi="Cambria Math" w:cs="Times New Roman"/>
                  <w:i/>
                  <w:sz w:val="24"/>
                </w:rPr>
              </m:ctrlPr>
            </m:sSubPr>
            <m:e>
              <m:r>
                <w:rPr>
                  <w:rFonts w:ascii="Cambria Math" w:hAnsi="Cambria Math" w:cs="Times New Roman"/>
                  <w:sz w:val="24"/>
                </w:rPr>
                <m:t>y</m:t>
              </m:r>
            </m:e>
            <m:sub>
              <m:r>
                <w:rPr>
                  <w:rFonts w:ascii="Cambria Math" w:hAnsi="Cambria Math" w:cs="Times New Roman"/>
                  <w:sz w:val="24"/>
                </w:rPr>
                <m:t>i,t-1</m:t>
              </m:r>
            </m:sub>
          </m:sSub>
          <m:r>
            <w:rPr>
              <w:rFonts w:ascii="Cambria Math" w:hAnsi="Cambria Math" w:cs="Times New Roman"/>
              <w:sz w:val="24"/>
            </w:rPr>
            <m:t>+</m:t>
          </m:r>
          <m:nary>
            <m:naryPr>
              <m:chr m:val="∑"/>
              <m:limLoc m:val="undOvr"/>
              <m:ctrlPr>
                <w:rPr>
                  <w:rFonts w:ascii="Cambria Math" w:hAnsi="Cambria Math" w:cs="Times New Roman"/>
                  <w:i/>
                  <w:sz w:val="24"/>
                </w:rPr>
              </m:ctrlPr>
            </m:naryPr>
            <m:sub>
              <m:r>
                <w:rPr>
                  <w:rFonts w:ascii="Cambria Math" w:hAnsi="Cambria Math" w:cs="Times New Roman"/>
                  <w:sz w:val="24"/>
                </w:rPr>
                <m:t>j=1</m:t>
              </m:r>
            </m:sub>
            <m:sup>
              <m:r>
                <w:rPr>
                  <w:rFonts w:ascii="Cambria Math" w:hAnsi="Cambria Math" w:cs="Times New Roman"/>
                  <w:sz w:val="24"/>
                </w:rPr>
                <m:t>k</m:t>
              </m:r>
            </m:sup>
            <m:e>
              <m:sSub>
                <m:sSubPr>
                  <m:ctrlPr>
                    <w:rPr>
                      <w:rFonts w:ascii="Cambria Math" w:hAnsi="Cambria Math" w:cs="Times New Roman"/>
                      <w:i/>
                      <w:sz w:val="24"/>
                    </w:rPr>
                  </m:ctrlPr>
                </m:sSubPr>
                <m:e>
                  <m:r>
                    <w:rPr>
                      <w:rFonts w:ascii="Cambria Math" w:hAnsi="Cambria Math" w:cs="Times New Roman"/>
                      <w:sz w:val="24"/>
                    </w:rPr>
                    <m:t>θ</m:t>
                  </m:r>
                </m:e>
                <m:sub>
                  <m:r>
                    <w:rPr>
                      <w:rFonts w:ascii="Cambria Math" w:hAnsi="Cambria Math" w:cs="Times New Roman"/>
                      <w:sz w:val="24"/>
                    </w:rPr>
                    <m:t>ik</m:t>
                  </m:r>
                </m:sub>
              </m:sSub>
              <m:r>
                <m:rPr>
                  <m:sty m:val="p"/>
                </m:rPr>
                <w:rPr>
                  <w:rFonts w:ascii="Cambria Math" w:hAnsi="Cambria Math" w:cs="Times New Roman"/>
                  <w:sz w:val="24"/>
                </w:rPr>
                <m:t>Δ</m:t>
              </m:r>
              <m:sSub>
                <m:sSubPr>
                  <m:ctrlPr>
                    <w:rPr>
                      <w:rFonts w:ascii="Cambria Math" w:hAnsi="Cambria Math" w:cs="Times New Roman"/>
                      <w:i/>
                      <w:sz w:val="24"/>
                    </w:rPr>
                  </m:ctrlPr>
                </m:sSubPr>
                <m:e>
                  <m:r>
                    <w:rPr>
                      <w:rFonts w:ascii="Cambria Math" w:hAnsi="Cambria Math" w:cs="Times New Roman"/>
                      <w:sz w:val="24"/>
                    </w:rPr>
                    <m:t>y</m:t>
                  </m:r>
                </m:e>
                <m:sub>
                  <m:r>
                    <w:rPr>
                      <w:rFonts w:ascii="Cambria Math" w:hAnsi="Cambria Math" w:cs="Times New Roman"/>
                      <w:sz w:val="24"/>
                    </w:rPr>
                    <m:t>it-k</m:t>
                  </m:r>
                </m:sub>
              </m:sSub>
            </m:e>
          </m:nary>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β</m:t>
              </m:r>
            </m:e>
            <m:sub>
              <m:r>
                <w:rPr>
                  <w:rFonts w:ascii="Cambria Math" w:hAnsi="Cambria Math" w:cs="Times New Roman"/>
                  <w:sz w:val="24"/>
                </w:rPr>
                <m:t>i</m:t>
              </m:r>
            </m:sub>
          </m:sSub>
          <m:r>
            <w:rPr>
              <w:rFonts w:ascii="Cambria Math" w:hAnsi="Cambria Math" w:cs="Times New Roman"/>
              <w:sz w:val="24"/>
            </w:rPr>
            <m:t>t+</m:t>
          </m:r>
          <m:sSub>
            <m:sSubPr>
              <m:ctrlPr>
                <w:rPr>
                  <w:rFonts w:ascii="Cambria Math" w:hAnsi="Cambria Math" w:cs="Times New Roman"/>
                  <w:i/>
                  <w:sz w:val="24"/>
                </w:rPr>
              </m:ctrlPr>
            </m:sSubPr>
            <m:e>
              <m:r>
                <w:rPr>
                  <w:rFonts w:ascii="Cambria Math" w:hAnsi="Cambria Math" w:cs="Times New Roman"/>
                  <w:sz w:val="24"/>
                </w:rPr>
                <m:t>δ</m:t>
              </m:r>
            </m:e>
            <m:sub>
              <m:r>
                <w:rPr>
                  <w:rFonts w:ascii="Cambria Math" w:hAnsi="Cambria Math" w:cs="Times New Roman"/>
                  <w:sz w:val="24"/>
                </w:rPr>
                <m:t>t</m:t>
              </m:r>
            </m:sub>
          </m:sSub>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ξ</m:t>
              </m:r>
            </m:e>
            <m:sub>
              <m:r>
                <w:rPr>
                  <w:rFonts w:ascii="Cambria Math" w:hAnsi="Cambria Math" w:cs="Times New Roman"/>
                  <w:sz w:val="24"/>
                </w:rPr>
                <m:t>it</m:t>
              </m:r>
            </m:sub>
          </m:sSub>
          <m:r>
            <w:rPr>
              <w:rFonts w:ascii="Cambria Math" w:hAnsi="Cambria Math" w:cs="Times New Roman"/>
              <w:sz w:val="24"/>
            </w:rPr>
            <m:t xml:space="preserve">         </m:t>
          </m:r>
          <m:d>
            <m:dPr>
              <m:ctrlPr>
                <w:rPr>
                  <w:rFonts w:ascii="Cambria Math" w:hAnsi="Cambria Math" w:cs="Times New Roman"/>
                  <w:i/>
                  <w:sz w:val="24"/>
                </w:rPr>
              </m:ctrlPr>
            </m:dPr>
            <m:e>
              <m:r>
                <w:rPr>
                  <w:rFonts w:ascii="Cambria Math" w:hAnsi="Cambria Math" w:cs="Times New Roman"/>
                  <w:sz w:val="24"/>
                </w:rPr>
                <m:t>7</m:t>
              </m:r>
            </m:e>
          </m:d>
        </m:oMath>
      </m:oMathPara>
    </w:p>
    <w:p w14:paraId="71522E34" w14:textId="3276CD82" w:rsidR="00B406F3" w:rsidRDefault="00B406F3" w:rsidP="00503090">
      <w:pPr>
        <w:spacing w:after="0" w:line="360" w:lineRule="auto"/>
        <w:ind w:firstLine="708"/>
        <w:contextualSpacing/>
        <w:jc w:val="both"/>
        <w:rPr>
          <w:rFonts w:ascii="Arial" w:hAnsi="Arial" w:cs="Arial"/>
          <w:sz w:val="24"/>
        </w:rPr>
      </w:pPr>
      <w:r w:rsidRPr="00E92CA0">
        <w:rPr>
          <w:rFonts w:ascii="Arial" w:hAnsi="Arial" w:cs="Arial"/>
          <w:sz w:val="24"/>
        </w:rPr>
        <w:t xml:space="preserve">Em que </w:t>
      </w:r>
      <m:oMath>
        <m:sSub>
          <m:sSubPr>
            <m:ctrlPr>
              <w:rPr>
                <w:rFonts w:ascii="Cambria Math" w:hAnsi="Cambria Math" w:cs="Arial"/>
                <w:i/>
                <w:sz w:val="24"/>
              </w:rPr>
            </m:ctrlPr>
          </m:sSubPr>
          <m:e>
            <m:r>
              <w:rPr>
                <w:rFonts w:ascii="Cambria Math" w:hAnsi="Cambria Math" w:cs="Arial"/>
                <w:sz w:val="24"/>
              </w:rPr>
              <m:t>δ</m:t>
            </m:r>
          </m:e>
          <m:sub>
            <m:r>
              <w:rPr>
                <w:rFonts w:ascii="Cambria Math" w:hAnsi="Cambria Math" w:cs="Arial"/>
                <w:sz w:val="24"/>
              </w:rPr>
              <m:t>t</m:t>
            </m:r>
          </m:sub>
        </m:sSub>
      </m:oMath>
      <w:r w:rsidRPr="00E92CA0">
        <w:rPr>
          <w:rFonts w:ascii="Arial" w:hAnsi="Arial" w:cs="Arial"/>
          <w:sz w:val="24"/>
        </w:rPr>
        <w:t xml:space="preserve"> </w:t>
      </w:r>
      <w:r>
        <w:rPr>
          <w:rFonts w:ascii="Arial" w:hAnsi="Arial" w:cs="Arial"/>
          <w:sz w:val="24"/>
        </w:rPr>
        <w:t xml:space="preserve">representa as </w:t>
      </w:r>
      <w:proofErr w:type="spellStart"/>
      <w:r w:rsidRPr="008E173F">
        <w:rPr>
          <w:rFonts w:ascii="Arial" w:hAnsi="Arial" w:cs="Arial"/>
          <w:i/>
          <w:sz w:val="24"/>
        </w:rPr>
        <w:t>dummies</w:t>
      </w:r>
      <w:proofErr w:type="spellEnd"/>
      <w:r>
        <w:rPr>
          <w:rFonts w:ascii="Arial" w:hAnsi="Arial" w:cs="Arial"/>
          <w:sz w:val="24"/>
        </w:rPr>
        <w:t xml:space="preserve"> de tempo usadas para contabilizar a correlação </w:t>
      </w:r>
      <w:proofErr w:type="spellStart"/>
      <w:r w:rsidRPr="008E173F">
        <w:rPr>
          <w:rFonts w:ascii="Arial" w:hAnsi="Arial" w:cs="Arial"/>
          <w:i/>
          <w:sz w:val="24"/>
        </w:rPr>
        <w:t>cross-sectional</w:t>
      </w:r>
      <w:proofErr w:type="spellEnd"/>
      <w:r>
        <w:rPr>
          <w:rFonts w:ascii="Arial" w:hAnsi="Arial" w:cs="Arial"/>
          <w:sz w:val="24"/>
        </w:rPr>
        <w:t xml:space="preserve"> que pode resultar de choques comuns que afetam todas as unidades </w:t>
      </w:r>
      <w:r w:rsidRPr="008E173F">
        <w:rPr>
          <w:rFonts w:ascii="Arial" w:hAnsi="Arial" w:cs="Arial"/>
          <w:i/>
          <w:sz w:val="24"/>
        </w:rPr>
        <w:t>cross-section</w:t>
      </w:r>
      <w:r>
        <w:rPr>
          <w:rFonts w:ascii="Arial" w:hAnsi="Arial" w:cs="Arial"/>
          <w:sz w:val="24"/>
        </w:rPr>
        <w:t xml:space="preserve"> no painel</w:t>
      </w:r>
      <w:r w:rsidRPr="00E92CA0">
        <w:rPr>
          <w:rFonts w:ascii="Arial" w:hAnsi="Arial" w:cs="Arial"/>
          <w:sz w:val="24"/>
        </w:rPr>
        <w:t xml:space="preserve">. A hipótese nula de </w:t>
      </w:r>
      <m:oMath>
        <m:r>
          <w:rPr>
            <w:rFonts w:ascii="Cambria Math" w:hAnsi="Cambria Math" w:cs="Arial"/>
            <w:sz w:val="24"/>
          </w:rPr>
          <m:t>ρ=0</m:t>
        </m:r>
      </m:oMath>
      <w:r w:rsidRPr="00E92CA0">
        <w:rPr>
          <w:rFonts w:ascii="Arial" w:hAnsi="Arial" w:cs="Arial"/>
          <w:sz w:val="24"/>
        </w:rPr>
        <w:t xml:space="preserve"> para todo </w:t>
      </w:r>
      <w:r w:rsidRPr="00E92CA0">
        <w:rPr>
          <w:rFonts w:ascii="Arial" w:hAnsi="Arial" w:cs="Arial"/>
          <w:i/>
          <w:sz w:val="24"/>
        </w:rPr>
        <w:t>i</w:t>
      </w:r>
      <w:r w:rsidRPr="00E92CA0">
        <w:rPr>
          <w:rFonts w:ascii="Arial" w:hAnsi="Arial" w:cs="Arial"/>
          <w:sz w:val="24"/>
        </w:rPr>
        <w:t xml:space="preserve"> </w:t>
      </w:r>
      <w:r w:rsidRPr="00E92CA0">
        <w:rPr>
          <w:rFonts w:ascii="Arial" w:hAnsi="Arial" w:cs="Arial"/>
          <w:sz w:val="24"/>
        </w:rPr>
        <w:lastRenderedPageBreak/>
        <w:t xml:space="preserve">é testada contra a hipótese alternativa de </w:t>
      </w:r>
      <m:oMath>
        <m:r>
          <w:rPr>
            <w:rFonts w:ascii="Cambria Math" w:hAnsi="Cambria Math" w:cs="Arial"/>
            <w:sz w:val="24"/>
          </w:rPr>
          <m:t>ρ&lt;0</m:t>
        </m:r>
      </m:oMath>
      <w:r w:rsidRPr="00E92CA0">
        <w:rPr>
          <w:rFonts w:ascii="Arial" w:hAnsi="Arial" w:cs="Arial"/>
          <w:sz w:val="24"/>
        </w:rPr>
        <w:t xml:space="preserve"> para todo </w:t>
      </w:r>
      <w:r w:rsidRPr="008E173F">
        <w:rPr>
          <w:rFonts w:ascii="Arial" w:hAnsi="Arial" w:cs="Arial"/>
          <w:i/>
          <w:sz w:val="24"/>
        </w:rPr>
        <w:t>i</w:t>
      </w:r>
      <w:r w:rsidRPr="00E92CA0">
        <w:rPr>
          <w:rFonts w:ascii="Arial" w:hAnsi="Arial" w:cs="Arial"/>
          <w:sz w:val="24"/>
        </w:rPr>
        <w:t xml:space="preserve">. A rejeição da hipótese nula indica um processo estacionário em painel. O Teste LLC exige fatores de correção de viés para corrigir variâncias heterogêneas em forma </w:t>
      </w:r>
      <w:r w:rsidRPr="00E92CA0">
        <w:rPr>
          <w:rFonts w:ascii="Arial" w:hAnsi="Arial" w:cs="Arial"/>
          <w:i/>
          <w:sz w:val="24"/>
        </w:rPr>
        <w:t>cross-section</w:t>
      </w:r>
      <w:r w:rsidRPr="00E92CA0">
        <w:rPr>
          <w:rFonts w:ascii="Arial" w:hAnsi="Arial" w:cs="Arial"/>
          <w:sz w:val="24"/>
        </w:rPr>
        <w:t xml:space="preserve"> para permitir uma estimação por MQO agrupado eficiente, </w:t>
      </w:r>
      <w:proofErr w:type="gramStart"/>
      <w:r w:rsidRPr="00E92CA0">
        <w:rPr>
          <w:rFonts w:ascii="Arial" w:hAnsi="Arial" w:cs="Arial"/>
          <w:sz w:val="24"/>
        </w:rPr>
        <w:t>enquanto que</w:t>
      </w:r>
      <w:proofErr w:type="gramEnd"/>
      <w:r w:rsidRPr="00E92CA0">
        <w:rPr>
          <w:rFonts w:ascii="Arial" w:hAnsi="Arial" w:cs="Arial"/>
          <w:sz w:val="24"/>
        </w:rPr>
        <w:t xml:space="preserve"> o Teste de </w:t>
      </w:r>
      <w:proofErr w:type="spellStart"/>
      <w:r w:rsidRPr="00E92CA0">
        <w:rPr>
          <w:rFonts w:ascii="Arial" w:hAnsi="Arial" w:cs="Arial"/>
          <w:sz w:val="24"/>
        </w:rPr>
        <w:t>Breitung</w:t>
      </w:r>
      <w:proofErr w:type="spellEnd"/>
      <w:r w:rsidRPr="00E92CA0">
        <w:rPr>
          <w:rFonts w:ascii="Arial" w:hAnsi="Arial" w:cs="Arial"/>
          <w:sz w:val="24"/>
        </w:rPr>
        <w:t xml:space="preserve"> (2000) alcan</w:t>
      </w:r>
      <w:r>
        <w:rPr>
          <w:rFonts w:ascii="Arial" w:hAnsi="Arial" w:cs="Arial"/>
          <w:sz w:val="24"/>
        </w:rPr>
        <w:t>ça</w:t>
      </w:r>
      <w:r w:rsidRPr="00E92CA0">
        <w:rPr>
          <w:rFonts w:ascii="Arial" w:hAnsi="Arial" w:cs="Arial"/>
          <w:sz w:val="24"/>
        </w:rPr>
        <w:t xml:space="preserve"> esse mesmo resultado por meio de transformações apropriadas.</w:t>
      </w:r>
      <w:r>
        <w:rPr>
          <w:rFonts w:ascii="Arial" w:hAnsi="Arial" w:cs="Arial"/>
          <w:sz w:val="24"/>
        </w:rPr>
        <w:t xml:space="preserve"> Além disso,</w:t>
      </w:r>
      <w:r w:rsidRPr="00E92CA0">
        <w:rPr>
          <w:rFonts w:ascii="Arial" w:hAnsi="Arial" w:cs="Arial"/>
          <w:sz w:val="24"/>
        </w:rPr>
        <w:t xml:space="preserve"> assume-se</w:t>
      </w:r>
      <w:r>
        <w:rPr>
          <w:rFonts w:ascii="Arial" w:hAnsi="Arial" w:cs="Arial"/>
          <w:sz w:val="24"/>
        </w:rPr>
        <w:t xml:space="preserve"> </w:t>
      </w:r>
      <w:r w:rsidRPr="00E92CA0">
        <w:rPr>
          <w:rFonts w:ascii="Arial" w:hAnsi="Arial" w:cs="Arial"/>
          <w:sz w:val="24"/>
        </w:rPr>
        <w:t xml:space="preserve"> independência entre as entidades de corte transversal; permite-se intercepto e tendência entidade-específico; </w:t>
      </w:r>
      <w:r>
        <w:rPr>
          <w:rFonts w:ascii="Arial" w:hAnsi="Arial" w:cs="Arial"/>
          <w:sz w:val="24"/>
        </w:rPr>
        <w:t xml:space="preserve">a </w:t>
      </w:r>
      <w:r w:rsidRPr="00E92CA0">
        <w:rPr>
          <w:rFonts w:ascii="Arial" w:hAnsi="Arial" w:cs="Arial"/>
          <w:sz w:val="24"/>
        </w:rPr>
        <w:t xml:space="preserve">variância do erro e correlação serial também podem variar entre as entidades de corte transversal; a estatística-teste converge para uma distribuição normal; </w:t>
      </w:r>
      <w:r>
        <w:rPr>
          <w:rFonts w:ascii="Arial" w:hAnsi="Arial" w:cs="Arial"/>
          <w:sz w:val="24"/>
        </w:rPr>
        <w:t xml:space="preserve">a </w:t>
      </w:r>
      <w:r w:rsidRPr="00E92CA0">
        <w:rPr>
          <w:rFonts w:ascii="Arial" w:hAnsi="Arial" w:cs="Arial"/>
          <w:sz w:val="24"/>
        </w:rPr>
        <w:t xml:space="preserve">média e variância assintóticas dependem da especificação do modelo; </w:t>
      </w:r>
      <w:r>
        <w:rPr>
          <w:rFonts w:ascii="Arial" w:hAnsi="Arial" w:cs="Arial"/>
          <w:sz w:val="24"/>
        </w:rPr>
        <w:t xml:space="preserve">e </w:t>
      </w:r>
      <w:r w:rsidRPr="00E92CA0">
        <w:rPr>
          <w:rFonts w:ascii="Arial" w:hAnsi="Arial" w:cs="Arial"/>
          <w:sz w:val="24"/>
        </w:rPr>
        <w:t>é indicado para painéis de tamanho moderado.</w:t>
      </w:r>
    </w:p>
    <w:p w14:paraId="12B6C993" w14:textId="77777777" w:rsidR="00503090" w:rsidRDefault="00503090" w:rsidP="00503090">
      <w:pPr>
        <w:spacing w:after="0" w:line="360" w:lineRule="auto"/>
        <w:ind w:firstLine="708"/>
        <w:contextualSpacing/>
        <w:jc w:val="both"/>
        <w:rPr>
          <w:rFonts w:ascii="Arial" w:hAnsi="Arial" w:cs="Arial"/>
          <w:sz w:val="24"/>
        </w:rPr>
      </w:pPr>
    </w:p>
    <w:p w14:paraId="78C37E3E" w14:textId="095FBB9C" w:rsidR="00B406F3" w:rsidRDefault="00B406F3" w:rsidP="00503090">
      <w:pPr>
        <w:spacing w:after="0" w:line="360" w:lineRule="auto"/>
        <w:ind w:firstLine="708"/>
        <w:contextualSpacing/>
        <w:jc w:val="both"/>
        <w:rPr>
          <w:rFonts w:ascii="Arial" w:hAnsi="Arial" w:cs="Arial"/>
          <w:sz w:val="24"/>
        </w:rPr>
      </w:pPr>
      <w:r>
        <w:rPr>
          <w:rFonts w:ascii="Arial" w:hAnsi="Arial" w:cs="Arial"/>
          <w:sz w:val="24"/>
          <w:szCs w:val="24"/>
        </w:rPr>
        <w:t>O segundo grupo</w:t>
      </w:r>
      <w:r w:rsidRPr="00E92CA0">
        <w:rPr>
          <w:rFonts w:ascii="Arial" w:hAnsi="Arial" w:cs="Arial"/>
          <w:sz w:val="24"/>
          <w:szCs w:val="24"/>
        </w:rPr>
        <w:t xml:space="preserve"> incorpora os testes que permitem a existência de um processo individual de raiz unitária de forma que os parâmetros de persistência podem variar livremente para cada unidade (grupo). </w:t>
      </w:r>
      <w:proofErr w:type="gramStart"/>
      <w:r w:rsidRPr="00E92CA0">
        <w:rPr>
          <w:rFonts w:ascii="Arial" w:hAnsi="Arial" w:cs="Arial"/>
          <w:sz w:val="24"/>
          <w:szCs w:val="24"/>
        </w:rPr>
        <w:t>Tratam-se</w:t>
      </w:r>
      <w:proofErr w:type="gramEnd"/>
      <w:r w:rsidRPr="00E92CA0">
        <w:rPr>
          <w:rFonts w:ascii="Arial" w:hAnsi="Arial" w:cs="Arial"/>
          <w:sz w:val="24"/>
          <w:szCs w:val="24"/>
        </w:rPr>
        <w:t xml:space="preserve"> de testes construídos a partir das e</w:t>
      </w:r>
      <w:r>
        <w:rPr>
          <w:rFonts w:ascii="Arial" w:hAnsi="Arial" w:cs="Arial"/>
          <w:sz w:val="24"/>
          <w:szCs w:val="24"/>
        </w:rPr>
        <w:t xml:space="preserve">statísticas individuais, por exemplo, os Testes de </w:t>
      </w:r>
      <w:proofErr w:type="spellStart"/>
      <w:r w:rsidRPr="00E92CA0">
        <w:rPr>
          <w:rFonts w:ascii="Arial" w:hAnsi="Arial" w:cs="Arial"/>
          <w:sz w:val="24"/>
          <w:szCs w:val="24"/>
        </w:rPr>
        <w:t>Im</w:t>
      </w:r>
      <w:proofErr w:type="spellEnd"/>
      <w:r w:rsidRPr="00E92CA0">
        <w:rPr>
          <w:rFonts w:ascii="Arial" w:hAnsi="Arial" w:cs="Arial"/>
          <w:sz w:val="24"/>
          <w:szCs w:val="24"/>
        </w:rPr>
        <w:t xml:space="preserve">, </w:t>
      </w:r>
      <w:proofErr w:type="spellStart"/>
      <w:r w:rsidRPr="00E92CA0">
        <w:rPr>
          <w:rFonts w:ascii="Arial" w:hAnsi="Arial" w:cs="Arial"/>
          <w:sz w:val="24"/>
          <w:szCs w:val="24"/>
        </w:rPr>
        <w:t>Pesaran</w:t>
      </w:r>
      <w:proofErr w:type="spellEnd"/>
      <w:r w:rsidRPr="00E92CA0">
        <w:rPr>
          <w:rFonts w:ascii="Arial" w:hAnsi="Arial" w:cs="Arial"/>
          <w:sz w:val="24"/>
          <w:szCs w:val="24"/>
        </w:rPr>
        <w:t xml:space="preserve"> e </w:t>
      </w:r>
      <w:proofErr w:type="spellStart"/>
      <w:r w:rsidRPr="00E92CA0">
        <w:rPr>
          <w:rFonts w:ascii="Arial" w:hAnsi="Arial" w:cs="Arial"/>
          <w:sz w:val="24"/>
          <w:szCs w:val="24"/>
        </w:rPr>
        <w:t>Shin</w:t>
      </w:r>
      <w:proofErr w:type="spellEnd"/>
      <w:r w:rsidRPr="00E92CA0">
        <w:rPr>
          <w:rFonts w:ascii="Arial" w:hAnsi="Arial" w:cs="Arial"/>
          <w:sz w:val="24"/>
          <w:szCs w:val="24"/>
        </w:rPr>
        <w:t xml:space="preserve"> (2003)</w:t>
      </w:r>
      <w:r>
        <w:rPr>
          <w:rFonts w:ascii="Arial" w:hAnsi="Arial" w:cs="Arial"/>
          <w:sz w:val="24"/>
          <w:szCs w:val="24"/>
        </w:rPr>
        <w:t xml:space="preserve"> - IPS, ADF-Fisher (MADDALA e WU, 1999) e </w:t>
      </w:r>
      <w:r w:rsidRPr="00F70228">
        <w:rPr>
          <w:rFonts w:ascii="Arial" w:hAnsi="Arial" w:cs="Arial"/>
          <w:sz w:val="24"/>
        </w:rPr>
        <w:t>PP-Fisher</w:t>
      </w:r>
      <w:r>
        <w:rPr>
          <w:rFonts w:ascii="Arial" w:hAnsi="Arial" w:cs="Arial"/>
          <w:sz w:val="24"/>
        </w:rPr>
        <w:t xml:space="preserve"> (CHOI, 2001).</w:t>
      </w:r>
    </w:p>
    <w:p w14:paraId="38AD13C8" w14:textId="77777777" w:rsidR="00503090" w:rsidRPr="00E92CA0" w:rsidRDefault="00503090" w:rsidP="00503090">
      <w:pPr>
        <w:spacing w:after="0" w:line="360" w:lineRule="auto"/>
        <w:ind w:firstLine="708"/>
        <w:contextualSpacing/>
        <w:jc w:val="both"/>
        <w:rPr>
          <w:rFonts w:ascii="Arial" w:hAnsi="Arial" w:cs="Arial"/>
          <w:sz w:val="24"/>
        </w:rPr>
      </w:pPr>
    </w:p>
    <w:p w14:paraId="7ECF0C60" w14:textId="77777777" w:rsidR="00B406F3" w:rsidRPr="00E92CA0" w:rsidRDefault="00B406F3" w:rsidP="00503090">
      <w:pPr>
        <w:spacing w:after="0" w:line="360" w:lineRule="auto"/>
        <w:contextualSpacing/>
        <w:jc w:val="both"/>
        <w:rPr>
          <w:rFonts w:ascii="Arial" w:hAnsi="Arial" w:cs="Arial"/>
          <w:sz w:val="24"/>
          <w:szCs w:val="24"/>
        </w:rPr>
      </w:pPr>
      <w:r w:rsidRPr="00E92CA0">
        <w:rPr>
          <w:rFonts w:ascii="Arial" w:hAnsi="Arial" w:cs="Arial"/>
          <w:sz w:val="24"/>
          <w:szCs w:val="24"/>
        </w:rPr>
        <w:tab/>
        <w:t xml:space="preserve">A hipótese forte de </w:t>
      </w:r>
      <m:oMath>
        <m:r>
          <w:rPr>
            <w:rFonts w:ascii="Cambria Math" w:hAnsi="Cambria Math" w:cs="Arial"/>
            <w:sz w:val="24"/>
            <w:szCs w:val="24"/>
          </w:rPr>
          <m:t>ρ</m:t>
        </m:r>
      </m:oMath>
      <w:r w:rsidRPr="00E92CA0">
        <w:rPr>
          <w:rFonts w:ascii="Arial" w:hAnsi="Arial" w:cs="Arial"/>
          <w:sz w:val="24"/>
          <w:szCs w:val="24"/>
        </w:rPr>
        <w:t xml:space="preserve"> homogêneo no teste LLC é difícil de ser satisfeita devido ao fato de que as unidades de corte transversal podem ter um processo de velocidade de ajustamento diferente no equilíbrio de longo prazo. Ao relaxar essa hipótese, </w:t>
      </w:r>
      <w:proofErr w:type="spellStart"/>
      <w:r w:rsidRPr="00E92CA0">
        <w:rPr>
          <w:rFonts w:ascii="Arial" w:hAnsi="Arial" w:cs="Arial"/>
          <w:sz w:val="24"/>
          <w:szCs w:val="24"/>
        </w:rPr>
        <w:t>Im</w:t>
      </w:r>
      <w:proofErr w:type="spellEnd"/>
      <w:r w:rsidRPr="00E92CA0">
        <w:rPr>
          <w:rFonts w:ascii="Arial" w:hAnsi="Arial" w:cs="Arial"/>
          <w:sz w:val="24"/>
          <w:szCs w:val="24"/>
        </w:rPr>
        <w:t xml:space="preserve">, </w:t>
      </w:r>
      <w:proofErr w:type="spellStart"/>
      <w:r w:rsidRPr="00E92CA0">
        <w:rPr>
          <w:rFonts w:ascii="Arial" w:hAnsi="Arial" w:cs="Arial"/>
          <w:sz w:val="24"/>
          <w:szCs w:val="24"/>
        </w:rPr>
        <w:t>Pesaran</w:t>
      </w:r>
      <w:proofErr w:type="spellEnd"/>
      <w:r w:rsidRPr="00E92CA0">
        <w:rPr>
          <w:rFonts w:ascii="Arial" w:hAnsi="Arial" w:cs="Arial"/>
          <w:sz w:val="24"/>
          <w:szCs w:val="24"/>
        </w:rPr>
        <w:t xml:space="preserve"> e </w:t>
      </w:r>
      <w:proofErr w:type="spellStart"/>
      <w:r w:rsidRPr="00E92CA0">
        <w:rPr>
          <w:rFonts w:ascii="Arial" w:hAnsi="Arial" w:cs="Arial"/>
          <w:sz w:val="24"/>
          <w:szCs w:val="24"/>
        </w:rPr>
        <w:t>Shin</w:t>
      </w:r>
      <w:proofErr w:type="spellEnd"/>
      <w:r w:rsidRPr="00E92CA0">
        <w:rPr>
          <w:rFonts w:ascii="Arial" w:hAnsi="Arial" w:cs="Arial"/>
          <w:sz w:val="24"/>
          <w:szCs w:val="24"/>
        </w:rPr>
        <w:t xml:space="preserve"> (2003), propuseram um teste de raiz unitária em painel de dados que permite</w:t>
      </w:r>
      <w:r>
        <w:rPr>
          <w:rFonts w:ascii="Arial" w:hAnsi="Arial" w:cs="Arial"/>
          <w:sz w:val="24"/>
          <w:szCs w:val="24"/>
        </w:rPr>
        <w:t xml:space="preserve"> que</w:t>
      </w:r>
      <w:r w:rsidRPr="00E92CA0">
        <w:rPr>
          <w:rFonts w:ascii="Arial" w:hAnsi="Arial" w:cs="Arial"/>
          <w:sz w:val="24"/>
          <w:szCs w:val="24"/>
        </w:rPr>
        <w:t xml:space="preserve"> </w:t>
      </w:r>
      <m:oMath>
        <m:r>
          <w:rPr>
            <w:rFonts w:ascii="Cambria Math" w:hAnsi="Cambria Math" w:cs="Arial"/>
            <w:sz w:val="24"/>
            <w:szCs w:val="24"/>
          </w:rPr>
          <m:t>ρ</m:t>
        </m:r>
      </m:oMath>
      <w:r w:rsidRPr="00E92CA0">
        <w:rPr>
          <w:rFonts w:ascii="Arial" w:hAnsi="Arial" w:cs="Arial"/>
          <w:sz w:val="24"/>
          <w:szCs w:val="24"/>
        </w:rPr>
        <w:t xml:space="preserve"> </w:t>
      </w:r>
      <w:r>
        <w:rPr>
          <w:rFonts w:ascii="Arial" w:hAnsi="Arial" w:cs="Arial"/>
          <w:sz w:val="24"/>
          <w:szCs w:val="24"/>
        </w:rPr>
        <w:t>varie</w:t>
      </w:r>
      <w:r w:rsidRPr="00E92CA0">
        <w:rPr>
          <w:rFonts w:ascii="Arial" w:hAnsi="Arial" w:cs="Arial"/>
          <w:sz w:val="24"/>
          <w:szCs w:val="24"/>
        </w:rPr>
        <w:t xml:space="preserve"> através de todos </w:t>
      </w:r>
      <m:oMath>
        <m:r>
          <w:rPr>
            <w:rFonts w:ascii="Cambria Math" w:hAnsi="Cambria Math" w:cs="Arial"/>
            <w:sz w:val="24"/>
            <w:szCs w:val="24"/>
          </w:rPr>
          <m:t>i</m:t>
        </m:r>
      </m:oMath>
      <w:r w:rsidRPr="00E92CA0">
        <w:rPr>
          <w:rFonts w:ascii="Arial" w:hAnsi="Arial" w:cs="Arial"/>
          <w:sz w:val="24"/>
          <w:szCs w:val="24"/>
        </w:rPr>
        <w:t>. Assim, a equação (</w:t>
      </w:r>
      <w:r>
        <w:rPr>
          <w:rFonts w:ascii="Arial" w:hAnsi="Arial" w:cs="Arial"/>
          <w:sz w:val="24"/>
          <w:szCs w:val="24"/>
        </w:rPr>
        <w:t>7</w:t>
      </w:r>
      <w:r w:rsidRPr="00E92CA0">
        <w:rPr>
          <w:rFonts w:ascii="Arial" w:hAnsi="Arial" w:cs="Arial"/>
          <w:sz w:val="24"/>
          <w:szCs w:val="24"/>
        </w:rPr>
        <w:t>) pode ser reescrita da seguinte forma:</w:t>
      </w:r>
    </w:p>
    <w:p w14:paraId="681AC8D1" w14:textId="1BE03B96" w:rsidR="00B406F3" w:rsidRPr="00F70228" w:rsidRDefault="00B406F3" w:rsidP="00B406F3">
      <w:pPr>
        <w:spacing w:after="0" w:line="480" w:lineRule="auto"/>
        <w:contextualSpacing/>
        <w:jc w:val="both"/>
        <w:rPr>
          <w:rFonts w:ascii="Arial" w:hAnsi="Arial" w:cs="Arial"/>
          <w:sz w:val="24"/>
          <w:szCs w:val="24"/>
        </w:rPr>
      </w:pPr>
      <m:oMathPara>
        <m:oMathParaPr>
          <m:jc m:val="left"/>
        </m:oMathParaPr>
        <m:oMath>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y</m:t>
              </m:r>
            </m:e>
            <m:sub>
              <m:r>
                <w:rPr>
                  <w:rFonts w:ascii="Cambria Math" w:hAnsi="Cambria Math" w:cs="Arial"/>
                  <w:sz w:val="24"/>
                  <w:szCs w:val="24"/>
                </w:rPr>
                <m:t>it</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μ</m:t>
              </m:r>
            </m:e>
            <m:sub>
              <m:r>
                <w:rPr>
                  <w:rFonts w:ascii="Cambria Math" w:hAnsi="Cambria Math" w:cs="Arial"/>
                  <w:sz w:val="24"/>
                  <w:szCs w:val="24"/>
                </w:rPr>
                <m:t>i</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ρ</m:t>
              </m:r>
            </m:e>
            <m:sub>
              <m:r>
                <w:rPr>
                  <w:rFonts w:ascii="Cambria Math" w:hAnsi="Cambria Math" w:cs="Arial"/>
                  <w:sz w:val="24"/>
                  <w:szCs w:val="24"/>
                </w:rPr>
                <m:t>i</m:t>
              </m:r>
            </m:sub>
          </m:sSub>
          <m:sSub>
            <m:sSubPr>
              <m:ctrlPr>
                <w:rPr>
                  <w:rFonts w:ascii="Cambria Math" w:hAnsi="Cambria Math" w:cs="Arial"/>
                  <w:i/>
                  <w:sz w:val="24"/>
                  <w:szCs w:val="24"/>
                </w:rPr>
              </m:ctrlPr>
            </m:sSubPr>
            <m:e>
              <m:r>
                <w:rPr>
                  <w:rFonts w:ascii="Cambria Math" w:hAnsi="Cambria Math" w:cs="Arial"/>
                  <w:sz w:val="24"/>
                  <w:szCs w:val="24"/>
                </w:rPr>
                <m:t>y</m:t>
              </m:r>
            </m:e>
            <m:sub>
              <m:r>
                <w:rPr>
                  <w:rFonts w:ascii="Cambria Math" w:hAnsi="Cambria Math" w:cs="Arial"/>
                  <w:sz w:val="24"/>
                  <w:szCs w:val="24"/>
                </w:rPr>
                <m:t>i,t-1</m:t>
              </m:r>
            </m:sub>
          </m:sSub>
          <m:r>
            <w:rPr>
              <w:rFonts w:ascii="Cambria Math" w:hAnsi="Cambria Math" w:cs="Arial"/>
              <w:sz w:val="24"/>
              <w:szCs w:val="24"/>
            </w:rPr>
            <m:t>+</m:t>
          </m:r>
          <m:nary>
            <m:naryPr>
              <m:chr m:val="∑"/>
              <m:limLoc m:val="undOvr"/>
              <m:ctrlPr>
                <w:rPr>
                  <w:rFonts w:ascii="Cambria Math" w:hAnsi="Cambria Math" w:cs="Arial"/>
                  <w:i/>
                  <w:sz w:val="24"/>
                  <w:szCs w:val="24"/>
                </w:rPr>
              </m:ctrlPr>
            </m:naryPr>
            <m:sub>
              <m:r>
                <w:rPr>
                  <w:rFonts w:ascii="Cambria Math" w:hAnsi="Cambria Math" w:cs="Arial"/>
                  <w:sz w:val="24"/>
                  <w:szCs w:val="24"/>
                </w:rPr>
                <m:t>j=1</m:t>
              </m:r>
            </m:sub>
            <m:sup>
              <m:r>
                <w:rPr>
                  <w:rFonts w:ascii="Cambria Math" w:hAnsi="Cambria Math" w:cs="Arial"/>
                  <w:sz w:val="24"/>
                  <w:szCs w:val="24"/>
                </w:rPr>
                <m:t>k</m:t>
              </m:r>
            </m:sup>
            <m:e>
              <m:sSub>
                <m:sSubPr>
                  <m:ctrlPr>
                    <w:rPr>
                      <w:rFonts w:ascii="Cambria Math" w:hAnsi="Cambria Math" w:cs="Arial"/>
                      <w:i/>
                      <w:sz w:val="24"/>
                      <w:szCs w:val="24"/>
                    </w:rPr>
                  </m:ctrlPr>
                </m:sSubPr>
                <m:e>
                  <m:r>
                    <w:rPr>
                      <w:rFonts w:ascii="Cambria Math" w:hAnsi="Cambria Math" w:cs="Arial"/>
                      <w:sz w:val="24"/>
                      <w:szCs w:val="24"/>
                    </w:rPr>
                    <m:t>θ</m:t>
                  </m:r>
                </m:e>
                <m:sub>
                  <m:r>
                    <w:rPr>
                      <w:rFonts w:ascii="Cambria Math" w:hAnsi="Cambria Math" w:cs="Arial"/>
                      <w:sz w:val="24"/>
                      <w:szCs w:val="24"/>
                    </w:rPr>
                    <m:t>ik</m:t>
                  </m:r>
                </m:sub>
              </m:sSub>
              <m:r>
                <m:rPr>
                  <m:sty m:val="p"/>
                </m:rPr>
                <w:rPr>
                  <w:rFonts w:ascii="Cambria Math" w:hAnsi="Cambria Math" w:cs="Arial"/>
                  <w:sz w:val="24"/>
                  <w:szCs w:val="24"/>
                </w:rPr>
                <m:t>Δ</m:t>
              </m:r>
              <m:sSub>
                <m:sSubPr>
                  <m:ctrlPr>
                    <w:rPr>
                      <w:rFonts w:ascii="Cambria Math" w:hAnsi="Cambria Math" w:cs="Arial"/>
                      <w:i/>
                      <w:sz w:val="24"/>
                      <w:szCs w:val="24"/>
                    </w:rPr>
                  </m:ctrlPr>
                </m:sSubPr>
                <m:e>
                  <m:r>
                    <w:rPr>
                      <w:rFonts w:ascii="Cambria Math" w:hAnsi="Cambria Math" w:cs="Arial"/>
                      <w:sz w:val="24"/>
                      <w:szCs w:val="24"/>
                    </w:rPr>
                    <m:t>y</m:t>
                  </m:r>
                </m:e>
                <m:sub>
                  <m:r>
                    <w:rPr>
                      <w:rFonts w:ascii="Cambria Math" w:hAnsi="Cambria Math" w:cs="Arial"/>
                      <w:sz w:val="24"/>
                      <w:szCs w:val="24"/>
                    </w:rPr>
                    <m:t>it-k</m:t>
                  </m:r>
                </m:sub>
              </m:sSub>
            </m:e>
          </m:nary>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β</m:t>
              </m:r>
            </m:e>
            <m:sub>
              <m:r>
                <w:rPr>
                  <w:rFonts w:ascii="Cambria Math" w:hAnsi="Cambria Math" w:cs="Arial"/>
                  <w:sz w:val="24"/>
                  <w:szCs w:val="24"/>
                </w:rPr>
                <m:t>i</m:t>
              </m:r>
            </m:sub>
          </m:sSub>
          <m:r>
            <w:rPr>
              <w:rFonts w:ascii="Cambria Math" w:hAnsi="Cambria Math" w:cs="Arial"/>
              <w:sz w:val="24"/>
              <w:szCs w:val="24"/>
            </w:rPr>
            <m:t>t+</m:t>
          </m:r>
          <m:sSub>
            <m:sSubPr>
              <m:ctrlPr>
                <w:rPr>
                  <w:rFonts w:ascii="Cambria Math" w:hAnsi="Cambria Math" w:cs="Arial"/>
                  <w:i/>
                  <w:sz w:val="24"/>
                  <w:szCs w:val="24"/>
                </w:rPr>
              </m:ctrlPr>
            </m:sSubPr>
            <m:e>
              <m:r>
                <w:rPr>
                  <w:rFonts w:ascii="Cambria Math" w:hAnsi="Cambria Math" w:cs="Arial"/>
                  <w:sz w:val="24"/>
                  <w:szCs w:val="24"/>
                </w:rPr>
                <m:t>δ</m:t>
              </m:r>
            </m:e>
            <m:sub>
              <m:r>
                <w:rPr>
                  <w:rFonts w:ascii="Cambria Math" w:hAnsi="Cambria Math" w:cs="Arial"/>
                  <w:sz w:val="24"/>
                  <w:szCs w:val="24"/>
                </w:rPr>
                <m:t>t</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ξ</m:t>
              </m:r>
            </m:e>
            <m:sub>
              <m:r>
                <w:rPr>
                  <w:rFonts w:ascii="Cambria Math" w:hAnsi="Cambria Math" w:cs="Arial"/>
                  <w:sz w:val="24"/>
                  <w:szCs w:val="24"/>
                </w:rPr>
                <m:t>it</m:t>
              </m:r>
            </m:sub>
          </m:sSub>
          <m:r>
            <w:rPr>
              <w:rFonts w:ascii="Cambria Math" w:hAnsi="Cambria Math" w:cs="Arial"/>
              <w:sz w:val="24"/>
              <w:szCs w:val="24"/>
            </w:rPr>
            <m:t xml:space="preserve">        </m:t>
          </m:r>
          <m:d>
            <m:dPr>
              <m:ctrlPr>
                <w:rPr>
                  <w:rFonts w:ascii="Cambria Math" w:hAnsi="Cambria Math" w:cs="Arial"/>
                  <w:i/>
                  <w:sz w:val="24"/>
                  <w:szCs w:val="24"/>
                </w:rPr>
              </m:ctrlPr>
            </m:dPr>
            <m:e>
              <m:r>
                <w:rPr>
                  <w:rFonts w:ascii="Cambria Math" w:hAnsi="Cambria Math" w:cs="Arial"/>
                  <w:sz w:val="24"/>
                  <w:szCs w:val="24"/>
                </w:rPr>
                <m:t>8</m:t>
              </m:r>
            </m:e>
          </m:d>
        </m:oMath>
      </m:oMathPara>
    </w:p>
    <w:p w14:paraId="6696E333" w14:textId="77777777" w:rsidR="00B406F3" w:rsidRPr="00E92CA0" w:rsidRDefault="00B406F3" w:rsidP="00503090">
      <w:pPr>
        <w:spacing w:after="0" w:line="360" w:lineRule="auto"/>
        <w:ind w:firstLine="708"/>
        <w:contextualSpacing/>
        <w:jc w:val="both"/>
        <w:rPr>
          <w:rFonts w:ascii="Arial" w:hAnsi="Arial" w:cs="Arial"/>
          <w:sz w:val="24"/>
          <w:szCs w:val="24"/>
        </w:rPr>
      </w:pPr>
      <w:r w:rsidRPr="00E92CA0">
        <w:rPr>
          <w:rFonts w:ascii="Arial" w:hAnsi="Arial" w:cs="Arial"/>
          <w:sz w:val="24"/>
          <w:szCs w:val="24"/>
        </w:rPr>
        <w:t xml:space="preserve">O teste IPS é mais direto que o LLC, pois testa-se raiz unitária no painel conforme a estatística ADF ponderada através dos grupos. A hipótese nula de </w:t>
      </w:r>
      <m:oMath>
        <m:sSub>
          <m:sSubPr>
            <m:ctrlPr>
              <w:rPr>
                <w:rFonts w:ascii="Cambria Math" w:hAnsi="Cambria Math" w:cs="Arial"/>
                <w:i/>
                <w:sz w:val="24"/>
                <w:szCs w:val="24"/>
              </w:rPr>
            </m:ctrlPr>
          </m:sSubPr>
          <m:e>
            <m:r>
              <w:rPr>
                <w:rFonts w:ascii="Cambria Math" w:hAnsi="Cambria Math" w:cs="Arial"/>
                <w:sz w:val="24"/>
                <w:szCs w:val="24"/>
              </w:rPr>
              <m:t>ρ</m:t>
            </m:r>
          </m:e>
          <m:sub>
            <m:r>
              <w:rPr>
                <w:rFonts w:ascii="Cambria Math" w:hAnsi="Cambria Math" w:cs="Arial"/>
                <w:sz w:val="24"/>
                <w:szCs w:val="24"/>
              </w:rPr>
              <m:t>i</m:t>
            </m:r>
          </m:sub>
        </m:sSub>
        <m:r>
          <w:rPr>
            <w:rFonts w:ascii="Cambria Math" w:hAnsi="Cambria Math" w:cs="Arial"/>
            <w:sz w:val="24"/>
            <w:szCs w:val="24"/>
          </w:rPr>
          <m:t>=0</m:t>
        </m:r>
      </m:oMath>
      <w:r w:rsidRPr="00E92CA0">
        <w:rPr>
          <w:rFonts w:ascii="Arial" w:hAnsi="Arial" w:cs="Arial"/>
          <w:sz w:val="24"/>
          <w:szCs w:val="24"/>
        </w:rPr>
        <w:t xml:space="preserve"> para todo </w:t>
      </w:r>
      <w:proofErr w:type="gramStart"/>
      <w:r w:rsidRPr="00E92CA0">
        <w:rPr>
          <w:rFonts w:ascii="Arial" w:hAnsi="Arial" w:cs="Arial"/>
          <w:i/>
          <w:sz w:val="24"/>
          <w:szCs w:val="24"/>
        </w:rPr>
        <w:t>i</w:t>
      </w:r>
      <w:r w:rsidRPr="00E92CA0">
        <w:rPr>
          <w:rFonts w:ascii="Arial" w:hAnsi="Arial" w:cs="Arial"/>
          <w:sz w:val="24"/>
          <w:szCs w:val="24"/>
        </w:rPr>
        <w:t xml:space="preserve">  é</w:t>
      </w:r>
      <w:proofErr w:type="gramEnd"/>
      <w:r w:rsidRPr="00E92CA0">
        <w:rPr>
          <w:rFonts w:ascii="Arial" w:hAnsi="Arial" w:cs="Arial"/>
          <w:sz w:val="24"/>
          <w:szCs w:val="24"/>
        </w:rPr>
        <w:t xml:space="preserve"> testada contra a hipótese alternativa de </w:t>
      </w:r>
      <m:oMath>
        <m:r>
          <w:rPr>
            <w:rFonts w:ascii="Cambria Math" w:hAnsi="Cambria Math" w:cs="Arial"/>
            <w:sz w:val="24"/>
            <w:szCs w:val="24"/>
          </w:rPr>
          <m:t>ρ&lt;0</m:t>
        </m:r>
      </m:oMath>
      <w:r w:rsidRPr="00E92CA0">
        <w:rPr>
          <w:rFonts w:ascii="Arial" w:hAnsi="Arial" w:cs="Arial"/>
          <w:sz w:val="24"/>
          <w:szCs w:val="24"/>
        </w:rPr>
        <w:t xml:space="preserve"> para pelo menos um </w:t>
      </w:r>
      <w:r w:rsidRPr="00E92CA0">
        <w:rPr>
          <w:rFonts w:ascii="Arial" w:hAnsi="Arial" w:cs="Arial"/>
          <w:i/>
          <w:sz w:val="24"/>
          <w:szCs w:val="24"/>
        </w:rPr>
        <w:t>i</w:t>
      </w:r>
      <w:r w:rsidRPr="00E92CA0">
        <w:rPr>
          <w:rFonts w:ascii="Arial" w:hAnsi="Arial" w:cs="Arial"/>
          <w:sz w:val="24"/>
          <w:szCs w:val="24"/>
        </w:rPr>
        <w:t xml:space="preserve">. A hipótese nula implica que todas as séries </w:t>
      </w:r>
      <w:proofErr w:type="gramStart"/>
      <w:r w:rsidRPr="00E92CA0">
        <w:rPr>
          <w:rFonts w:ascii="Arial" w:hAnsi="Arial" w:cs="Arial"/>
          <w:sz w:val="24"/>
          <w:szCs w:val="24"/>
        </w:rPr>
        <w:t>tem</w:t>
      </w:r>
      <w:proofErr w:type="gramEnd"/>
      <w:r w:rsidRPr="00E92CA0">
        <w:rPr>
          <w:rFonts w:ascii="Arial" w:hAnsi="Arial" w:cs="Arial"/>
          <w:sz w:val="24"/>
          <w:szCs w:val="24"/>
        </w:rPr>
        <w:t xml:space="preserve"> uma raiz unitária, enquanto que a hipótese alternativa sugere que algumas das séries na base de dados em painel são consideradas estacionárias.</w:t>
      </w:r>
    </w:p>
    <w:p w14:paraId="4596FD3C" w14:textId="77777777" w:rsidR="00B406F3" w:rsidRPr="00E92CA0" w:rsidRDefault="00B406F3" w:rsidP="00503090">
      <w:pPr>
        <w:spacing w:after="0" w:line="360" w:lineRule="auto"/>
        <w:ind w:firstLine="708"/>
        <w:contextualSpacing/>
        <w:jc w:val="both"/>
        <w:rPr>
          <w:rFonts w:ascii="Arial" w:hAnsi="Arial" w:cs="Arial"/>
        </w:rPr>
      </w:pPr>
      <w:proofErr w:type="spellStart"/>
      <w:r w:rsidRPr="00F70228">
        <w:rPr>
          <w:rFonts w:ascii="Arial" w:hAnsi="Arial" w:cs="Arial"/>
          <w:sz w:val="24"/>
        </w:rPr>
        <w:lastRenderedPageBreak/>
        <w:t>Maddala</w:t>
      </w:r>
      <w:proofErr w:type="spellEnd"/>
      <w:r w:rsidRPr="00F70228">
        <w:rPr>
          <w:rFonts w:ascii="Arial" w:hAnsi="Arial" w:cs="Arial"/>
          <w:sz w:val="24"/>
        </w:rPr>
        <w:t xml:space="preserve"> e Wu (1999) e </w:t>
      </w:r>
      <w:proofErr w:type="spellStart"/>
      <w:r w:rsidRPr="00F70228">
        <w:rPr>
          <w:rFonts w:ascii="Arial" w:hAnsi="Arial" w:cs="Arial"/>
          <w:sz w:val="24"/>
        </w:rPr>
        <w:t>Choi</w:t>
      </w:r>
      <w:proofErr w:type="spellEnd"/>
      <w:r w:rsidRPr="00F70228">
        <w:rPr>
          <w:rFonts w:ascii="Arial" w:hAnsi="Arial" w:cs="Arial"/>
          <w:sz w:val="24"/>
        </w:rPr>
        <w:t xml:space="preserve"> (2001) propuseram os testes não-paramétricos ADF-Fisher e PP-Fisher, baseados </w:t>
      </w:r>
      <w:r>
        <w:rPr>
          <w:rFonts w:ascii="Arial" w:hAnsi="Arial" w:cs="Arial"/>
          <w:sz w:val="24"/>
        </w:rPr>
        <w:t>em</w:t>
      </w:r>
      <w:r w:rsidRPr="00F70228">
        <w:rPr>
          <w:rFonts w:ascii="Arial" w:hAnsi="Arial" w:cs="Arial"/>
          <w:sz w:val="24"/>
        </w:rPr>
        <w:t xml:space="preserve"> Fisher (1932), os quais combinam valores-p das estatísticas teste de testes de raiz unitária em cada unidade </w:t>
      </w:r>
      <w:proofErr w:type="spellStart"/>
      <w:r w:rsidRPr="00F70228">
        <w:rPr>
          <w:rFonts w:ascii="Arial" w:hAnsi="Arial" w:cs="Arial"/>
          <w:i/>
          <w:sz w:val="24"/>
        </w:rPr>
        <w:t>cross</w:t>
      </w:r>
      <w:proofErr w:type="spellEnd"/>
      <w:r w:rsidRPr="00F70228">
        <w:rPr>
          <w:rFonts w:ascii="Arial" w:hAnsi="Arial" w:cs="Arial"/>
          <w:i/>
          <w:sz w:val="24"/>
        </w:rPr>
        <w:t>-seccional</w:t>
      </w:r>
      <w:r w:rsidRPr="00F70228">
        <w:rPr>
          <w:rFonts w:ascii="Arial" w:hAnsi="Arial" w:cs="Arial"/>
          <w:sz w:val="24"/>
        </w:rPr>
        <w:t xml:space="preserve"> residual.  Se </w:t>
      </w:r>
      <m:oMath>
        <m:sSub>
          <m:sSubPr>
            <m:ctrlPr>
              <w:rPr>
                <w:rFonts w:ascii="Cambria Math" w:hAnsi="Cambria Math" w:cs="Arial"/>
                <w:i/>
                <w:sz w:val="24"/>
              </w:rPr>
            </m:ctrlPr>
          </m:sSubPr>
          <m:e>
            <m:r>
              <w:rPr>
                <w:rFonts w:ascii="Cambria Math" w:hAnsi="Cambria Math" w:cs="Arial"/>
                <w:sz w:val="24"/>
              </w:rPr>
              <m:t>p</m:t>
            </m:r>
          </m:e>
          <m:sub>
            <m:r>
              <w:rPr>
                <w:rFonts w:ascii="Cambria Math" w:hAnsi="Cambria Math" w:cs="Arial"/>
                <w:sz w:val="24"/>
              </w:rPr>
              <m:t>i</m:t>
            </m:r>
          </m:sub>
        </m:sSub>
      </m:oMath>
      <w:r w:rsidRPr="00F70228">
        <w:rPr>
          <w:rFonts w:ascii="Arial" w:hAnsi="Arial" w:cs="Arial"/>
          <w:sz w:val="24"/>
        </w:rPr>
        <w:t xml:space="preserve"> é definido como sendo o valor-p da estatística teste do coeficiente </w:t>
      </w:r>
      <m:oMath>
        <m:sSub>
          <m:sSubPr>
            <m:ctrlPr>
              <w:rPr>
                <w:rFonts w:ascii="Cambria Math" w:hAnsi="Cambria Math" w:cs="Arial"/>
                <w:i/>
                <w:sz w:val="24"/>
              </w:rPr>
            </m:ctrlPr>
          </m:sSubPr>
          <m:e>
            <m:r>
              <w:rPr>
                <w:rFonts w:ascii="Cambria Math" w:hAnsi="Cambria Math" w:cs="Arial"/>
                <w:sz w:val="24"/>
              </w:rPr>
              <m:t>ρ</m:t>
            </m:r>
          </m:e>
          <m:sub>
            <m:r>
              <w:rPr>
                <w:rFonts w:ascii="Cambria Math" w:hAnsi="Cambria Math" w:cs="Arial"/>
                <w:sz w:val="24"/>
              </w:rPr>
              <m:t>i</m:t>
            </m:r>
          </m:sub>
        </m:sSub>
      </m:oMath>
      <w:r w:rsidRPr="00F70228">
        <w:rPr>
          <w:rFonts w:ascii="Arial" w:hAnsi="Arial" w:cs="Arial"/>
          <w:sz w:val="24"/>
        </w:rPr>
        <w:t xml:space="preserve"> para cada unidade </w:t>
      </w:r>
      <w:r w:rsidRPr="00F70228">
        <w:rPr>
          <w:rFonts w:ascii="Arial" w:hAnsi="Arial" w:cs="Arial"/>
          <w:i/>
          <w:sz w:val="24"/>
        </w:rPr>
        <w:t>i</w:t>
      </w:r>
      <w:r w:rsidRPr="00F70228">
        <w:rPr>
          <w:rFonts w:ascii="Arial" w:hAnsi="Arial" w:cs="Arial"/>
          <w:sz w:val="24"/>
        </w:rPr>
        <w:t xml:space="preserve">, então, sob a hipótese nula de presença de raiz unitária para todas as </w:t>
      </w:r>
      <m:oMath>
        <m:r>
          <w:rPr>
            <w:rFonts w:ascii="Cambria Math" w:hAnsi="Cambria Math" w:cs="Arial"/>
            <w:sz w:val="24"/>
          </w:rPr>
          <m:t>N</m:t>
        </m:r>
      </m:oMath>
      <w:r w:rsidRPr="00F70228">
        <w:rPr>
          <w:rFonts w:ascii="Arial" w:hAnsi="Arial" w:cs="Arial"/>
          <w:sz w:val="24"/>
        </w:rPr>
        <w:t xml:space="preserve"> unidades </w:t>
      </w:r>
      <w:proofErr w:type="spellStart"/>
      <w:r w:rsidRPr="00F70228">
        <w:rPr>
          <w:rFonts w:ascii="Arial" w:hAnsi="Arial" w:cs="Arial"/>
          <w:i/>
          <w:sz w:val="24"/>
        </w:rPr>
        <w:t>cross-sectional</w:t>
      </w:r>
      <w:proofErr w:type="spellEnd"/>
      <w:r w:rsidRPr="00F70228">
        <w:rPr>
          <w:rFonts w:ascii="Arial" w:hAnsi="Arial" w:cs="Arial"/>
          <w:sz w:val="24"/>
        </w:rPr>
        <w:t xml:space="preserve">, e usando a propriedade aditiva da variável </w:t>
      </w:r>
      <w:proofErr w:type="spellStart"/>
      <w:r w:rsidRPr="00F70228">
        <w:rPr>
          <w:rFonts w:ascii="Arial" w:hAnsi="Arial" w:cs="Arial"/>
          <w:sz w:val="24"/>
        </w:rPr>
        <w:t>qui</w:t>
      </w:r>
      <w:proofErr w:type="spellEnd"/>
      <w:r w:rsidRPr="00F70228">
        <w:rPr>
          <w:rFonts w:ascii="Arial" w:hAnsi="Arial" w:cs="Arial"/>
          <w:sz w:val="24"/>
        </w:rPr>
        <w:t>-quadrado, a seguinte estatística teste assintótica pode ser derivada:</w:t>
      </w:r>
    </w:p>
    <w:p w14:paraId="4C7DBB3E" w14:textId="045AB28D" w:rsidR="00B406F3" w:rsidRPr="00FC3E52" w:rsidRDefault="00B406F3" w:rsidP="00B406F3">
      <w:pPr>
        <w:spacing w:after="0" w:line="480" w:lineRule="auto"/>
        <w:contextualSpacing/>
        <w:jc w:val="both"/>
        <w:rPr>
          <w:rFonts w:ascii="Arial" w:hAnsi="Arial" w:cs="Arial"/>
          <w:sz w:val="24"/>
          <w:szCs w:val="24"/>
        </w:rPr>
      </w:pPr>
      <m:oMathPara>
        <m:oMathParaPr>
          <m:jc m:val="left"/>
        </m:oMathParaPr>
        <m:oMath>
          <m:r>
            <w:rPr>
              <w:rFonts w:ascii="Cambria Math" w:hAnsi="Cambria Math" w:cs="Arial"/>
              <w:sz w:val="24"/>
            </w:rPr>
            <m:t>P=-2</m:t>
          </m:r>
          <m:nary>
            <m:naryPr>
              <m:chr m:val="∑"/>
              <m:limLoc m:val="undOvr"/>
              <m:ctrlPr>
                <w:rPr>
                  <w:rFonts w:ascii="Cambria Math" w:hAnsi="Cambria Math" w:cs="Arial"/>
                  <w:i/>
                  <w:sz w:val="24"/>
                  <w:szCs w:val="24"/>
                </w:rPr>
              </m:ctrlPr>
            </m:naryPr>
            <m:sub>
              <m:r>
                <w:rPr>
                  <w:rFonts w:ascii="Cambria Math" w:hAnsi="Cambria Math" w:cs="Arial"/>
                  <w:sz w:val="24"/>
                  <w:szCs w:val="24"/>
                </w:rPr>
                <m:t>i=1</m:t>
              </m:r>
            </m:sub>
            <m:sup>
              <m:r>
                <w:rPr>
                  <w:rFonts w:ascii="Cambria Math" w:hAnsi="Cambria Math" w:cs="Arial"/>
                  <w:sz w:val="24"/>
                  <w:szCs w:val="24"/>
                </w:rPr>
                <m:t>N</m:t>
              </m:r>
            </m:sup>
            <m:e>
              <m:func>
                <m:funcPr>
                  <m:ctrlPr>
                    <w:rPr>
                      <w:rFonts w:ascii="Cambria Math" w:hAnsi="Cambria Math" w:cs="Arial"/>
                      <w:i/>
                      <w:sz w:val="24"/>
                      <w:szCs w:val="24"/>
                    </w:rPr>
                  </m:ctrlPr>
                </m:funcPr>
                <m:fName>
                  <m:r>
                    <m:rPr>
                      <m:sty m:val="p"/>
                    </m:rPr>
                    <w:rPr>
                      <w:rFonts w:ascii="Cambria Math" w:hAnsi="Cambria Math" w:cs="Arial"/>
                      <w:sz w:val="24"/>
                      <w:szCs w:val="24"/>
                    </w:rPr>
                    <m:t>ln</m:t>
                  </m:r>
                </m:fName>
                <m:e>
                  <m:sSub>
                    <m:sSubPr>
                      <m:ctrlPr>
                        <w:rPr>
                          <w:rFonts w:ascii="Cambria Math" w:hAnsi="Cambria Math" w:cs="Arial"/>
                          <w:i/>
                          <w:sz w:val="24"/>
                          <w:szCs w:val="24"/>
                        </w:rPr>
                      </m:ctrlPr>
                    </m:sSubPr>
                    <m:e>
                      <m:r>
                        <w:rPr>
                          <w:rFonts w:ascii="Cambria Math" w:hAnsi="Cambria Math" w:cs="Arial"/>
                          <w:sz w:val="24"/>
                          <w:szCs w:val="24"/>
                        </w:rPr>
                        <m:t>p</m:t>
                      </m:r>
                    </m:e>
                    <m:sub>
                      <m:r>
                        <w:rPr>
                          <w:rFonts w:ascii="Cambria Math" w:hAnsi="Cambria Math" w:cs="Arial"/>
                          <w:sz w:val="24"/>
                          <w:szCs w:val="24"/>
                        </w:rPr>
                        <m:t>i</m:t>
                      </m:r>
                    </m:sub>
                  </m:sSub>
                </m:e>
              </m:func>
            </m:e>
          </m:nary>
          <m:r>
            <w:rPr>
              <w:rFonts w:ascii="Cambria Math" w:hAnsi="Cambria Math" w:cs="Arial"/>
              <w:sz w:val="24"/>
              <w:szCs w:val="24"/>
            </w:rPr>
            <m:t>→</m:t>
          </m:r>
          <m:sSubSup>
            <m:sSubSupPr>
              <m:ctrlPr>
                <w:rPr>
                  <w:rFonts w:ascii="Cambria Math" w:hAnsi="Cambria Math" w:cs="Arial"/>
                  <w:i/>
                  <w:sz w:val="24"/>
                  <w:szCs w:val="24"/>
                </w:rPr>
              </m:ctrlPr>
            </m:sSubSupPr>
            <m:e>
              <m:r>
                <w:rPr>
                  <w:rFonts w:ascii="Cambria Math" w:hAnsi="Cambria Math" w:cs="Arial"/>
                  <w:sz w:val="24"/>
                  <w:szCs w:val="24"/>
                </w:rPr>
                <m:t>χ</m:t>
              </m:r>
            </m:e>
            <m:sub>
              <m:r>
                <w:rPr>
                  <w:rFonts w:ascii="Cambria Math" w:hAnsi="Cambria Math" w:cs="Arial"/>
                  <w:sz w:val="24"/>
                  <w:szCs w:val="24"/>
                </w:rPr>
                <m:t>2N</m:t>
              </m:r>
            </m:sub>
            <m:sup>
              <m:r>
                <w:rPr>
                  <w:rFonts w:ascii="Cambria Math" w:hAnsi="Cambria Math" w:cs="Arial"/>
                  <w:sz w:val="24"/>
                  <w:szCs w:val="24"/>
                </w:rPr>
                <m:t>2</m:t>
              </m:r>
            </m:sup>
          </m:sSubSup>
          <m:r>
            <w:rPr>
              <w:rFonts w:ascii="Cambria Math" w:hAnsi="Cambria Math" w:cs="Arial"/>
              <w:sz w:val="24"/>
              <w:szCs w:val="24"/>
            </w:rPr>
            <m:t xml:space="preserve">                     </m:t>
          </m:r>
          <m:d>
            <m:dPr>
              <m:ctrlPr>
                <w:rPr>
                  <w:rFonts w:ascii="Cambria Math" w:hAnsi="Cambria Math" w:cs="Arial"/>
                  <w:i/>
                  <w:sz w:val="24"/>
                  <w:szCs w:val="24"/>
                </w:rPr>
              </m:ctrlPr>
            </m:dPr>
            <m:e>
              <m:r>
                <w:rPr>
                  <w:rFonts w:ascii="Cambria Math" w:hAnsi="Cambria Math" w:cs="Arial"/>
                  <w:sz w:val="24"/>
                  <w:szCs w:val="24"/>
                </w:rPr>
                <m:t>9</m:t>
              </m:r>
            </m:e>
          </m:d>
        </m:oMath>
      </m:oMathPara>
    </w:p>
    <w:p w14:paraId="0E850834" w14:textId="77777777" w:rsidR="00B406F3" w:rsidRPr="00E92CA0" w:rsidRDefault="00B406F3" w:rsidP="00B406F3">
      <w:pPr>
        <w:spacing w:after="0" w:line="480" w:lineRule="auto"/>
        <w:ind w:firstLine="708"/>
        <w:contextualSpacing/>
        <w:jc w:val="both"/>
        <w:rPr>
          <w:rFonts w:ascii="Arial" w:hAnsi="Arial" w:cs="Arial"/>
        </w:rPr>
      </w:pPr>
      <w:proofErr w:type="spellStart"/>
      <w:r w:rsidRPr="00F70228">
        <w:rPr>
          <w:rFonts w:ascii="Arial" w:hAnsi="Arial" w:cs="Arial"/>
          <w:sz w:val="24"/>
        </w:rPr>
        <w:t>Choi</w:t>
      </w:r>
      <w:proofErr w:type="spellEnd"/>
      <w:r w:rsidRPr="00F70228">
        <w:rPr>
          <w:rFonts w:ascii="Arial" w:hAnsi="Arial" w:cs="Arial"/>
          <w:sz w:val="24"/>
        </w:rPr>
        <w:t xml:space="preserve"> (2000) mostra que:</w:t>
      </w:r>
    </w:p>
    <w:p w14:paraId="20985BBB" w14:textId="26808286" w:rsidR="00B406F3" w:rsidRPr="00FC3E52" w:rsidRDefault="00B406F3" w:rsidP="00B406F3">
      <w:pPr>
        <w:spacing w:after="0" w:line="480" w:lineRule="auto"/>
        <w:contextualSpacing/>
        <w:jc w:val="both"/>
        <w:rPr>
          <w:rFonts w:ascii="Arial" w:hAnsi="Arial" w:cs="Arial"/>
          <w:sz w:val="24"/>
        </w:rPr>
      </w:pPr>
      <m:oMathPara>
        <m:oMathParaPr>
          <m:jc m:val="left"/>
        </m:oMathParaPr>
        <m:oMath>
          <m:r>
            <w:rPr>
              <w:rFonts w:ascii="Cambria Math" w:hAnsi="Cambria Math" w:cs="Arial"/>
              <w:sz w:val="24"/>
            </w:rPr>
            <m:t>Z=</m:t>
          </m:r>
          <m:f>
            <m:fPr>
              <m:ctrlPr>
                <w:rPr>
                  <w:rFonts w:ascii="Cambria Math" w:hAnsi="Cambria Math" w:cs="Arial"/>
                  <w:i/>
                  <w:sz w:val="24"/>
                </w:rPr>
              </m:ctrlPr>
            </m:fPr>
            <m:num>
              <m:r>
                <w:rPr>
                  <w:rFonts w:ascii="Cambria Math" w:hAnsi="Cambria Math" w:cs="Arial"/>
                  <w:sz w:val="24"/>
                </w:rPr>
                <m:t>1</m:t>
              </m:r>
            </m:num>
            <m:den>
              <m:rad>
                <m:radPr>
                  <m:degHide m:val="1"/>
                  <m:ctrlPr>
                    <w:rPr>
                      <w:rFonts w:ascii="Cambria Math" w:hAnsi="Cambria Math" w:cs="Arial"/>
                      <w:i/>
                      <w:sz w:val="24"/>
                    </w:rPr>
                  </m:ctrlPr>
                </m:radPr>
                <m:deg/>
                <m:e>
                  <m:sSub>
                    <m:sSubPr>
                      <m:ctrlPr>
                        <w:rPr>
                          <w:rFonts w:ascii="Cambria Math" w:hAnsi="Cambria Math" w:cs="Arial"/>
                          <w:i/>
                          <w:sz w:val="24"/>
                        </w:rPr>
                      </m:ctrlPr>
                    </m:sSubPr>
                    <m:e>
                      <m:r>
                        <w:rPr>
                          <w:rFonts w:ascii="Cambria Math" w:hAnsi="Cambria Math" w:cs="Arial"/>
                          <w:sz w:val="24"/>
                        </w:rPr>
                        <m:t>N</m:t>
                      </m:r>
                    </m:e>
                    <m:sub>
                      <m:r>
                        <w:rPr>
                          <w:rFonts w:ascii="Cambria Math" w:hAnsi="Cambria Math" w:cs="Arial"/>
                          <w:sz w:val="24"/>
                        </w:rPr>
                        <m:t>i=1</m:t>
                      </m:r>
                    </m:sub>
                  </m:sSub>
                </m:e>
              </m:rad>
            </m:den>
          </m:f>
          <m:nary>
            <m:naryPr>
              <m:chr m:val="∑"/>
              <m:limLoc m:val="undOvr"/>
              <m:ctrlPr>
                <w:rPr>
                  <w:rFonts w:ascii="Cambria Math" w:hAnsi="Cambria Math" w:cs="Arial"/>
                  <w:i/>
                  <w:sz w:val="24"/>
                </w:rPr>
              </m:ctrlPr>
            </m:naryPr>
            <m:sub>
              <m:r>
                <w:rPr>
                  <w:rFonts w:ascii="Cambria Math" w:hAnsi="Cambria Math" w:cs="Arial"/>
                  <w:sz w:val="24"/>
                </w:rPr>
                <m:t>i=1</m:t>
              </m:r>
            </m:sub>
            <m:sup>
              <m:r>
                <w:rPr>
                  <w:rFonts w:ascii="Cambria Math" w:hAnsi="Cambria Math" w:cs="Arial"/>
                  <w:sz w:val="24"/>
                </w:rPr>
                <m:t>N</m:t>
              </m:r>
            </m:sup>
            <m:e>
              <m:sSup>
                <m:sSupPr>
                  <m:ctrlPr>
                    <w:rPr>
                      <w:rFonts w:ascii="Cambria Math" w:hAnsi="Cambria Math" w:cs="Arial"/>
                      <w:sz w:val="24"/>
                    </w:rPr>
                  </m:ctrlPr>
                </m:sSupPr>
                <m:e>
                  <m:r>
                    <m:rPr>
                      <m:sty m:val="p"/>
                    </m:rPr>
                    <w:rPr>
                      <w:rFonts w:ascii="Cambria Math" w:hAnsi="Cambria Math" w:cs="Arial"/>
                      <w:sz w:val="24"/>
                    </w:rPr>
                    <m:t>Φ</m:t>
                  </m:r>
                </m:e>
                <m:sup>
                  <m:r>
                    <w:rPr>
                      <w:rFonts w:ascii="Cambria Math" w:hAnsi="Cambria Math" w:cs="Arial"/>
                      <w:sz w:val="24"/>
                    </w:rPr>
                    <m:t>-1</m:t>
                  </m:r>
                </m:sup>
              </m:sSup>
              <m:d>
                <m:dPr>
                  <m:ctrlPr>
                    <w:rPr>
                      <w:rFonts w:ascii="Cambria Math" w:hAnsi="Cambria Math" w:cs="Arial"/>
                      <w:i/>
                      <w:sz w:val="24"/>
                      <w:szCs w:val="24"/>
                    </w:rPr>
                  </m:ctrlPr>
                </m:dPr>
                <m:e>
                  <m:sSub>
                    <m:sSubPr>
                      <m:ctrlPr>
                        <w:rPr>
                          <w:rFonts w:ascii="Cambria Math" w:hAnsi="Cambria Math" w:cs="Arial"/>
                          <w:i/>
                          <w:sz w:val="24"/>
                          <w:szCs w:val="24"/>
                        </w:rPr>
                      </m:ctrlPr>
                    </m:sSubPr>
                    <m:e>
                      <m:r>
                        <w:rPr>
                          <w:rFonts w:ascii="Cambria Math" w:hAnsi="Cambria Math" w:cs="Arial"/>
                          <w:sz w:val="24"/>
                          <w:szCs w:val="24"/>
                        </w:rPr>
                        <m:t>p</m:t>
                      </m:r>
                    </m:e>
                    <m:sub>
                      <m:r>
                        <w:rPr>
                          <w:rFonts w:ascii="Cambria Math" w:hAnsi="Cambria Math" w:cs="Arial"/>
                          <w:sz w:val="24"/>
                          <w:szCs w:val="24"/>
                        </w:rPr>
                        <m:t>i</m:t>
                      </m:r>
                    </m:sub>
                  </m:sSub>
                </m:e>
              </m:d>
            </m:e>
          </m:nary>
          <m:r>
            <w:rPr>
              <w:rFonts w:ascii="Cambria Math" w:hAnsi="Cambria Math" w:cs="Arial"/>
              <w:sz w:val="24"/>
            </w:rPr>
            <m:t>→N</m:t>
          </m:r>
          <m:d>
            <m:dPr>
              <m:ctrlPr>
                <w:rPr>
                  <w:rFonts w:ascii="Cambria Math" w:hAnsi="Cambria Math" w:cs="Arial"/>
                  <w:i/>
                  <w:sz w:val="24"/>
                </w:rPr>
              </m:ctrlPr>
            </m:dPr>
            <m:e>
              <m:r>
                <w:rPr>
                  <w:rFonts w:ascii="Cambria Math" w:hAnsi="Cambria Math" w:cs="Arial"/>
                  <w:sz w:val="24"/>
                </w:rPr>
                <m:t>0,1</m:t>
              </m:r>
            </m:e>
          </m:d>
          <m:r>
            <w:rPr>
              <w:rFonts w:ascii="Cambria Math" w:hAnsi="Cambria Math" w:cs="Arial"/>
              <w:sz w:val="24"/>
            </w:rPr>
            <m:t xml:space="preserve">            </m:t>
          </m:r>
          <m:d>
            <m:dPr>
              <m:ctrlPr>
                <w:rPr>
                  <w:rFonts w:ascii="Cambria Math" w:hAnsi="Cambria Math" w:cs="Arial"/>
                  <w:i/>
                  <w:sz w:val="24"/>
                </w:rPr>
              </m:ctrlPr>
            </m:dPr>
            <m:e>
              <m:r>
                <w:rPr>
                  <w:rFonts w:ascii="Cambria Math" w:hAnsi="Cambria Math" w:cs="Arial"/>
                  <w:sz w:val="24"/>
                </w:rPr>
                <m:t>10</m:t>
              </m:r>
            </m:e>
          </m:d>
        </m:oMath>
      </m:oMathPara>
    </w:p>
    <w:p w14:paraId="1003C830" w14:textId="1E02E5DA" w:rsidR="00B406F3" w:rsidRDefault="00B406F3" w:rsidP="00503090">
      <w:pPr>
        <w:spacing w:after="0" w:line="360" w:lineRule="auto"/>
        <w:ind w:firstLine="708"/>
        <w:contextualSpacing/>
        <w:jc w:val="both"/>
        <w:rPr>
          <w:rFonts w:ascii="Arial" w:hAnsi="Arial" w:cs="Arial"/>
          <w:sz w:val="24"/>
        </w:rPr>
      </w:pPr>
      <w:r w:rsidRPr="00F70228">
        <w:rPr>
          <w:rFonts w:ascii="Arial" w:hAnsi="Arial" w:cs="Arial"/>
          <w:sz w:val="24"/>
        </w:rPr>
        <w:t xml:space="preserve">Em que </w:t>
      </w:r>
      <m:oMath>
        <m:sSup>
          <m:sSupPr>
            <m:ctrlPr>
              <w:rPr>
                <w:rFonts w:ascii="Cambria Math" w:hAnsi="Cambria Math" w:cs="Arial"/>
                <w:sz w:val="24"/>
              </w:rPr>
            </m:ctrlPr>
          </m:sSupPr>
          <m:e>
            <m:r>
              <m:rPr>
                <m:sty m:val="p"/>
              </m:rPr>
              <w:rPr>
                <w:rFonts w:ascii="Cambria Math" w:hAnsi="Cambria Math" w:cs="Arial"/>
                <w:sz w:val="24"/>
              </w:rPr>
              <m:t>Φ</m:t>
            </m:r>
          </m:e>
          <m:sup>
            <m:r>
              <w:rPr>
                <w:rFonts w:ascii="Cambria Math" w:hAnsi="Cambria Math" w:cs="Arial"/>
                <w:sz w:val="24"/>
              </w:rPr>
              <m:t>-1</m:t>
            </m:r>
          </m:sup>
        </m:sSup>
      </m:oMath>
      <w:r w:rsidRPr="00F70228">
        <w:rPr>
          <w:rFonts w:ascii="Arial" w:hAnsi="Arial" w:cs="Arial"/>
          <w:sz w:val="24"/>
        </w:rPr>
        <w:t xml:space="preserve"> é o inverso da função de distribuição cumulativa normal padrão.</w:t>
      </w:r>
      <w:r>
        <w:rPr>
          <w:rFonts w:ascii="Arial" w:hAnsi="Arial" w:cs="Arial"/>
          <w:sz w:val="24"/>
        </w:rPr>
        <w:t xml:space="preserve"> A hipótese nula dos testes </w:t>
      </w:r>
      <w:r w:rsidRPr="00F70228">
        <w:rPr>
          <w:rFonts w:ascii="Arial" w:hAnsi="Arial" w:cs="Arial"/>
          <w:sz w:val="24"/>
        </w:rPr>
        <w:t>ADF-Fisher e PP-Fisher</w:t>
      </w:r>
      <w:r>
        <w:rPr>
          <w:rFonts w:ascii="Arial" w:hAnsi="Arial" w:cs="Arial"/>
          <w:sz w:val="24"/>
        </w:rPr>
        <w:t xml:space="preserve"> é que todos os painéis possuem raiz unitária </w:t>
      </w:r>
      <m:oMath>
        <m:d>
          <m:dPr>
            <m:ctrlPr>
              <w:rPr>
                <w:rFonts w:ascii="Cambria Math" w:hAnsi="Cambria Math" w:cs="Arial"/>
                <w:i/>
                <w:sz w:val="24"/>
              </w:rPr>
            </m:ctrlPr>
          </m:dPr>
          <m:e>
            <m:sSub>
              <m:sSubPr>
                <m:ctrlPr>
                  <w:rPr>
                    <w:rFonts w:ascii="Cambria Math" w:hAnsi="Cambria Math" w:cs="Arial"/>
                    <w:i/>
                    <w:sz w:val="24"/>
                  </w:rPr>
                </m:ctrlPr>
              </m:sSubPr>
              <m:e>
                <m:r>
                  <w:rPr>
                    <w:rFonts w:ascii="Cambria Math" w:hAnsi="Cambria Math" w:cs="Arial"/>
                    <w:sz w:val="24"/>
                  </w:rPr>
                  <m:t>H</m:t>
                </m:r>
              </m:e>
              <m:sub>
                <m:r>
                  <w:rPr>
                    <w:rFonts w:ascii="Cambria Math" w:hAnsi="Cambria Math" w:cs="Arial"/>
                    <w:sz w:val="24"/>
                  </w:rPr>
                  <m:t>0</m:t>
                </m:r>
              </m:sub>
            </m:sSub>
            <m:r>
              <w:rPr>
                <w:rFonts w:ascii="Cambria Math" w:hAnsi="Cambria Math" w:cs="Arial"/>
                <w:sz w:val="24"/>
              </w:rPr>
              <m:t xml:space="preserve">: </m:t>
            </m:r>
            <m:sSub>
              <m:sSubPr>
                <m:ctrlPr>
                  <w:rPr>
                    <w:rFonts w:ascii="Cambria Math" w:hAnsi="Cambria Math" w:cs="Arial"/>
                    <w:i/>
                    <w:sz w:val="24"/>
                  </w:rPr>
                </m:ctrlPr>
              </m:sSubPr>
              <m:e>
                <m:r>
                  <w:rPr>
                    <w:rFonts w:ascii="Cambria Math" w:hAnsi="Cambria Math" w:cs="Arial"/>
                    <w:sz w:val="24"/>
                  </w:rPr>
                  <m:t>ρ</m:t>
                </m:r>
              </m:e>
              <m:sub>
                <m:r>
                  <w:rPr>
                    <w:rFonts w:ascii="Cambria Math" w:hAnsi="Cambria Math" w:cs="Arial"/>
                    <w:sz w:val="24"/>
                  </w:rPr>
                  <m:t>i</m:t>
                </m:r>
              </m:sub>
            </m:sSub>
            <m:r>
              <w:rPr>
                <w:rFonts w:ascii="Cambria Math" w:hAnsi="Cambria Math" w:cs="Arial"/>
                <w:sz w:val="24"/>
              </w:rPr>
              <m:t>=0, ∀i</m:t>
            </m:r>
          </m:e>
        </m:d>
      </m:oMath>
      <w:r>
        <w:rPr>
          <w:rFonts w:ascii="Arial" w:hAnsi="Arial" w:cs="Arial"/>
          <w:sz w:val="24"/>
        </w:rPr>
        <w:t xml:space="preserve">. Já a hipótese alternativa desses testes é que, ao menos, um painel é estacionário </w:t>
      </w:r>
      <m:oMath>
        <m:d>
          <m:dPr>
            <m:ctrlPr>
              <w:rPr>
                <w:rFonts w:ascii="Cambria Math" w:hAnsi="Cambria Math" w:cs="Arial"/>
                <w:i/>
                <w:sz w:val="24"/>
              </w:rPr>
            </m:ctrlPr>
          </m:dPr>
          <m:e>
            <m:sSub>
              <m:sSubPr>
                <m:ctrlPr>
                  <w:rPr>
                    <w:rFonts w:ascii="Cambria Math" w:hAnsi="Cambria Math" w:cs="Arial"/>
                    <w:i/>
                    <w:sz w:val="24"/>
                  </w:rPr>
                </m:ctrlPr>
              </m:sSubPr>
              <m:e>
                <m:r>
                  <w:rPr>
                    <w:rFonts w:ascii="Cambria Math" w:hAnsi="Cambria Math" w:cs="Arial"/>
                    <w:sz w:val="24"/>
                  </w:rPr>
                  <m:t>H</m:t>
                </m:r>
              </m:e>
              <m:sub>
                <m:r>
                  <w:rPr>
                    <w:rFonts w:ascii="Cambria Math" w:hAnsi="Cambria Math" w:cs="Arial"/>
                    <w:sz w:val="24"/>
                  </w:rPr>
                  <m:t>A</m:t>
                </m:r>
              </m:sub>
            </m:sSub>
            <m:r>
              <w:rPr>
                <w:rFonts w:ascii="Cambria Math" w:hAnsi="Cambria Math" w:cs="Arial"/>
                <w:sz w:val="24"/>
              </w:rPr>
              <m:t>:</m:t>
            </m:r>
            <m:sSub>
              <m:sSubPr>
                <m:ctrlPr>
                  <w:rPr>
                    <w:rFonts w:ascii="Cambria Math" w:hAnsi="Cambria Math" w:cs="Arial"/>
                    <w:i/>
                    <w:sz w:val="24"/>
                  </w:rPr>
                </m:ctrlPr>
              </m:sSubPr>
              <m:e>
                <m:r>
                  <w:rPr>
                    <w:rFonts w:ascii="Cambria Math" w:hAnsi="Cambria Math" w:cs="Arial"/>
                    <w:sz w:val="24"/>
                  </w:rPr>
                  <m:t>ρ</m:t>
                </m:r>
              </m:e>
              <m:sub>
                <m:r>
                  <w:rPr>
                    <w:rFonts w:ascii="Cambria Math" w:hAnsi="Cambria Math" w:cs="Arial"/>
                    <w:sz w:val="24"/>
                  </w:rPr>
                  <m:t>i</m:t>
                </m:r>
              </m:sub>
            </m:sSub>
            <m:r>
              <w:rPr>
                <w:rFonts w:ascii="Cambria Math" w:hAnsi="Cambria Math" w:cs="Arial"/>
                <w:sz w:val="24"/>
              </w:rPr>
              <m:t>=0,  para i=1,2,…,</m:t>
            </m:r>
            <m:sSub>
              <m:sSubPr>
                <m:ctrlPr>
                  <w:rPr>
                    <w:rFonts w:ascii="Cambria Math" w:hAnsi="Cambria Math" w:cs="Arial"/>
                    <w:i/>
                    <w:sz w:val="24"/>
                  </w:rPr>
                </m:ctrlPr>
              </m:sSubPr>
              <m:e>
                <m:r>
                  <w:rPr>
                    <w:rFonts w:ascii="Cambria Math" w:hAnsi="Cambria Math" w:cs="Arial"/>
                    <w:sz w:val="24"/>
                  </w:rPr>
                  <m:t>N</m:t>
                </m:r>
              </m:e>
              <m:sub>
                <m:r>
                  <w:rPr>
                    <w:rFonts w:ascii="Cambria Math" w:hAnsi="Cambria Math" w:cs="Arial"/>
                    <w:sz w:val="24"/>
                  </w:rPr>
                  <m:t>i</m:t>
                </m:r>
              </m:sub>
            </m:sSub>
            <m:r>
              <w:rPr>
                <w:rFonts w:ascii="Cambria Math" w:hAnsi="Cambria Math" w:cs="Arial"/>
                <w:sz w:val="24"/>
              </w:rPr>
              <m:t>;</m:t>
            </m:r>
            <m:sSub>
              <m:sSubPr>
                <m:ctrlPr>
                  <w:rPr>
                    <w:rFonts w:ascii="Cambria Math" w:hAnsi="Cambria Math" w:cs="Arial"/>
                    <w:i/>
                    <w:sz w:val="24"/>
                  </w:rPr>
                </m:ctrlPr>
              </m:sSubPr>
              <m:e>
                <m:r>
                  <w:rPr>
                    <w:rFonts w:ascii="Cambria Math" w:hAnsi="Cambria Math" w:cs="Arial"/>
                    <w:sz w:val="24"/>
                  </w:rPr>
                  <m:t>ρ</m:t>
                </m:r>
              </m:e>
              <m:sub>
                <m:r>
                  <w:rPr>
                    <w:rFonts w:ascii="Cambria Math" w:hAnsi="Cambria Math" w:cs="Arial"/>
                    <w:sz w:val="24"/>
                  </w:rPr>
                  <m:t>i</m:t>
                </m:r>
              </m:sub>
            </m:sSub>
            <m:r>
              <w:rPr>
                <w:rFonts w:ascii="Cambria Math" w:hAnsi="Cambria Math" w:cs="Arial"/>
                <w:sz w:val="24"/>
              </w:rPr>
              <m:t>&lt;0, para i=N+1,N+2,…,N</m:t>
            </m:r>
          </m:e>
        </m:d>
      </m:oMath>
      <w:r>
        <w:rPr>
          <w:rFonts w:ascii="Arial" w:hAnsi="Arial" w:cs="Arial"/>
          <w:sz w:val="24"/>
        </w:rPr>
        <w:t>.</w:t>
      </w:r>
    </w:p>
    <w:p w14:paraId="70389510" w14:textId="77777777" w:rsidR="00503090" w:rsidRDefault="00503090" w:rsidP="00503090">
      <w:pPr>
        <w:spacing w:after="0" w:line="360" w:lineRule="auto"/>
        <w:ind w:firstLine="708"/>
        <w:contextualSpacing/>
        <w:jc w:val="both"/>
        <w:rPr>
          <w:rFonts w:ascii="Arial" w:hAnsi="Arial" w:cs="Arial"/>
          <w:sz w:val="24"/>
        </w:rPr>
      </w:pPr>
    </w:p>
    <w:p w14:paraId="7C239633" w14:textId="45BB81D8" w:rsidR="00B406F3" w:rsidRDefault="00B406F3" w:rsidP="00503090">
      <w:pPr>
        <w:spacing w:after="0" w:line="360" w:lineRule="auto"/>
        <w:ind w:firstLine="708"/>
        <w:contextualSpacing/>
        <w:jc w:val="both"/>
        <w:rPr>
          <w:rFonts w:ascii="Arial" w:hAnsi="Arial" w:cs="Arial"/>
          <w:sz w:val="24"/>
        </w:rPr>
      </w:pPr>
      <w:r w:rsidRPr="00F70228">
        <w:rPr>
          <w:rFonts w:ascii="Arial" w:hAnsi="Arial" w:cs="Arial"/>
          <w:sz w:val="24"/>
        </w:rPr>
        <w:t xml:space="preserve">O valor de teste </w:t>
      </w:r>
      <m:oMath>
        <m:d>
          <m:dPr>
            <m:ctrlPr>
              <w:rPr>
                <w:rFonts w:ascii="Cambria Math" w:hAnsi="Cambria Math" w:cs="Arial"/>
                <w:i/>
                <w:sz w:val="24"/>
              </w:rPr>
            </m:ctrlPr>
          </m:dPr>
          <m:e>
            <m:acc>
              <m:accPr>
                <m:ctrlPr>
                  <w:rPr>
                    <w:rFonts w:ascii="Cambria Math" w:hAnsi="Cambria Math" w:cs="Arial"/>
                    <w:i/>
                    <w:sz w:val="24"/>
                  </w:rPr>
                </m:ctrlPr>
              </m:accPr>
              <m:e>
                <m:r>
                  <w:rPr>
                    <w:rFonts w:ascii="Cambria Math" w:hAnsi="Cambria Math" w:cs="Arial"/>
                    <w:sz w:val="24"/>
                  </w:rPr>
                  <m:t>P</m:t>
                </m:r>
              </m:e>
            </m:acc>
          </m:e>
        </m:d>
      </m:oMath>
      <w:r w:rsidRPr="00F70228">
        <w:rPr>
          <w:rFonts w:ascii="Arial" w:hAnsi="Arial" w:cs="Arial"/>
          <w:sz w:val="24"/>
        </w:rPr>
        <w:t xml:space="preserve"> segue uma distribuição assintótica </w:t>
      </w:r>
      <m:oMath>
        <m:sSup>
          <m:sSupPr>
            <m:ctrlPr>
              <w:rPr>
                <w:rFonts w:ascii="Cambria Math" w:hAnsi="Cambria Math" w:cs="Arial"/>
                <w:i/>
                <w:sz w:val="24"/>
              </w:rPr>
            </m:ctrlPr>
          </m:sSupPr>
          <m:e>
            <m:r>
              <w:rPr>
                <w:rFonts w:ascii="Cambria Math" w:hAnsi="Cambria Math" w:cs="Arial"/>
                <w:sz w:val="24"/>
              </w:rPr>
              <m:t>χ</m:t>
            </m:r>
          </m:e>
          <m:sup>
            <m:r>
              <w:rPr>
                <w:rFonts w:ascii="Cambria Math" w:hAnsi="Cambria Math" w:cs="Arial"/>
                <w:sz w:val="24"/>
              </w:rPr>
              <m:t>2</m:t>
            </m:r>
          </m:sup>
        </m:sSup>
        <m:d>
          <m:dPr>
            <m:ctrlPr>
              <w:rPr>
                <w:rFonts w:ascii="Cambria Math" w:hAnsi="Cambria Math" w:cs="Arial"/>
                <w:i/>
                <w:sz w:val="24"/>
              </w:rPr>
            </m:ctrlPr>
          </m:dPr>
          <m:e>
            <m:r>
              <w:rPr>
                <w:rFonts w:ascii="Cambria Math" w:hAnsi="Cambria Math" w:cs="Arial"/>
                <w:sz w:val="24"/>
              </w:rPr>
              <m:t>2N</m:t>
            </m:r>
          </m:e>
        </m:d>
      </m:oMath>
      <w:r w:rsidRPr="00F70228">
        <w:rPr>
          <w:rFonts w:ascii="Arial" w:hAnsi="Arial" w:cs="Arial"/>
          <w:sz w:val="24"/>
        </w:rPr>
        <w:t xml:space="preserve"> (qui-quadrado com </w:t>
      </w:r>
      <m:oMath>
        <m:r>
          <w:rPr>
            <w:rFonts w:ascii="Cambria Math" w:hAnsi="Cambria Math" w:cs="Arial"/>
            <w:sz w:val="24"/>
          </w:rPr>
          <m:t>2N</m:t>
        </m:r>
      </m:oMath>
      <w:r w:rsidRPr="00F70228">
        <w:rPr>
          <w:rFonts w:ascii="Arial" w:hAnsi="Arial" w:cs="Arial"/>
          <w:sz w:val="24"/>
        </w:rPr>
        <w:t xml:space="preserve"> graus de liberdade) para o número de observações de cada </w:t>
      </w:r>
      <w:r>
        <w:rPr>
          <w:rFonts w:ascii="Arial" w:hAnsi="Arial" w:cs="Arial"/>
          <w:sz w:val="24"/>
        </w:rPr>
        <w:t xml:space="preserve">unidade </w:t>
      </w:r>
      <w:r w:rsidRPr="00F70228">
        <w:rPr>
          <w:rFonts w:ascii="Arial" w:hAnsi="Arial" w:cs="Arial"/>
          <w:i/>
          <w:sz w:val="24"/>
        </w:rPr>
        <w:t>cross-section</w:t>
      </w:r>
      <w:r w:rsidRPr="00F70228">
        <w:rPr>
          <w:rFonts w:ascii="Arial" w:hAnsi="Arial" w:cs="Arial"/>
          <w:sz w:val="24"/>
        </w:rPr>
        <w:t xml:space="preserve"> no tempo, </w:t>
      </w:r>
      <m:oMath>
        <m:sSub>
          <m:sSubPr>
            <m:ctrlPr>
              <w:rPr>
                <w:rFonts w:ascii="Cambria Math" w:hAnsi="Cambria Math" w:cs="Arial"/>
                <w:i/>
                <w:sz w:val="24"/>
              </w:rPr>
            </m:ctrlPr>
          </m:sSubPr>
          <m:e>
            <m:r>
              <w:rPr>
                <w:rFonts w:ascii="Cambria Math" w:hAnsi="Cambria Math" w:cs="Arial"/>
                <w:sz w:val="24"/>
              </w:rPr>
              <m:t>T</m:t>
            </m:r>
          </m:e>
          <m:sub>
            <m:r>
              <w:rPr>
                <w:rFonts w:ascii="Cambria Math" w:hAnsi="Cambria Math" w:cs="Arial"/>
                <w:sz w:val="24"/>
              </w:rPr>
              <m:t>i</m:t>
            </m:r>
          </m:sub>
        </m:sSub>
      </m:oMath>
      <w:r w:rsidRPr="00F70228">
        <w:rPr>
          <w:rFonts w:ascii="Arial" w:hAnsi="Arial" w:cs="Arial"/>
          <w:sz w:val="24"/>
        </w:rPr>
        <w:t>, tendendo ao infinito (</w:t>
      </w:r>
      <m:oMath>
        <m:sSub>
          <m:sSubPr>
            <m:ctrlPr>
              <w:rPr>
                <w:rFonts w:ascii="Cambria Math" w:hAnsi="Cambria Math" w:cs="Arial"/>
                <w:i/>
                <w:sz w:val="24"/>
              </w:rPr>
            </m:ctrlPr>
          </m:sSubPr>
          <m:e>
            <m:r>
              <w:rPr>
                <w:rFonts w:ascii="Cambria Math" w:hAnsi="Cambria Math" w:cs="Arial"/>
                <w:sz w:val="24"/>
              </w:rPr>
              <m:t>T</m:t>
            </m:r>
          </m:e>
          <m:sub>
            <m:r>
              <w:rPr>
                <w:rFonts w:ascii="Cambria Math" w:hAnsi="Cambria Math" w:cs="Arial"/>
                <w:sz w:val="24"/>
              </w:rPr>
              <m:t>i</m:t>
            </m:r>
          </m:sub>
        </m:sSub>
        <m:r>
          <w:rPr>
            <w:rFonts w:ascii="Cambria Math" w:hAnsi="Cambria Math" w:cs="Arial"/>
            <w:sz w:val="24"/>
          </w:rPr>
          <m:t>→∞</m:t>
        </m:r>
      </m:oMath>
      <w:r w:rsidRPr="00F70228">
        <w:rPr>
          <w:rFonts w:ascii="Arial" w:hAnsi="Arial" w:cs="Arial"/>
          <w:sz w:val="24"/>
        </w:rPr>
        <w:t xml:space="preserve">) para </w:t>
      </w:r>
      <m:oMath>
        <m:r>
          <w:rPr>
            <w:rFonts w:ascii="Cambria Math" w:hAnsi="Cambria Math" w:cs="Arial"/>
            <w:sz w:val="24"/>
          </w:rPr>
          <m:t>N</m:t>
        </m:r>
      </m:oMath>
      <w:r w:rsidRPr="00F70228">
        <w:rPr>
          <w:rFonts w:ascii="Arial" w:hAnsi="Arial" w:cs="Arial"/>
          <w:sz w:val="24"/>
        </w:rPr>
        <w:t xml:space="preserve"> finito (</w:t>
      </w:r>
      <m:oMath>
        <m:r>
          <w:rPr>
            <w:rFonts w:ascii="Cambria Math" w:hAnsi="Cambria Math" w:cs="Arial"/>
            <w:sz w:val="24"/>
          </w:rPr>
          <m:t>N=k</m:t>
        </m:r>
      </m:oMath>
      <w:r w:rsidRPr="00F70228">
        <w:rPr>
          <w:rFonts w:ascii="Arial" w:hAnsi="Arial" w:cs="Arial"/>
          <w:sz w:val="24"/>
        </w:rPr>
        <w:t xml:space="preserve">). Os valores críticos foram obtidos em simulações de Monte Carlo. </w:t>
      </w:r>
      <w:r>
        <w:rPr>
          <w:rFonts w:ascii="Arial" w:hAnsi="Arial" w:cs="Arial"/>
          <w:sz w:val="24"/>
        </w:rPr>
        <w:t>Mas</w:t>
      </w:r>
      <w:r w:rsidRPr="00F70228">
        <w:rPr>
          <w:rFonts w:ascii="Arial" w:hAnsi="Arial" w:cs="Arial"/>
          <w:sz w:val="24"/>
        </w:rPr>
        <w:t xml:space="preserve"> a limitação deste teste consiste na dificuldade em testar se todos os painéis são estacionários.</w:t>
      </w:r>
    </w:p>
    <w:p w14:paraId="45711F33" w14:textId="77777777" w:rsidR="00503090" w:rsidRDefault="00503090" w:rsidP="00503090">
      <w:pPr>
        <w:spacing w:after="0" w:line="360" w:lineRule="auto"/>
        <w:ind w:firstLine="708"/>
        <w:contextualSpacing/>
        <w:jc w:val="both"/>
        <w:rPr>
          <w:rFonts w:ascii="Arial" w:hAnsi="Arial" w:cs="Arial"/>
          <w:sz w:val="24"/>
        </w:rPr>
      </w:pPr>
    </w:p>
    <w:p w14:paraId="104AF12E" w14:textId="773DCBCF" w:rsidR="00B810AE" w:rsidRPr="00345115" w:rsidRDefault="00B406F3" w:rsidP="001822F9">
      <w:pPr>
        <w:spacing w:line="360" w:lineRule="auto"/>
        <w:ind w:firstLine="708"/>
        <w:jc w:val="both"/>
        <w:rPr>
          <w:rFonts w:ascii="Arial" w:hAnsi="Arial" w:cs="Arial"/>
          <w:sz w:val="24"/>
          <w:szCs w:val="24"/>
        </w:rPr>
      </w:pPr>
      <w:r>
        <w:rPr>
          <w:rFonts w:ascii="Arial" w:hAnsi="Arial" w:cs="Arial"/>
          <w:sz w:val="24"/>
          <w:szCs w:val="24"/>
        </w:rPr>
        <w:t>Em resumo, a</w:t>
      </w:r>
      <w:r w:rsidR="00B810AE" w:rsidRPr="00345115">
        <w:rPr>
          <w:rFonts w:ascii="Arial" w:hAnsi="Arial" w:cs="Arial"/>
          <w:sz w:val="24"/>
          <w:szCs w:val="24"/>
        </w:rPr>
        <w:t xml:space="preserve"> determinação da estacionariedade das variáveis é um passo crucial, uma vez que a utilização de estimações econométricas com variáveis não estacionárias poderá resultar em regressões espúrias. A Tabela 1 a seguir resume as principais características dos Testes de Raízes Unitárias em Dados de Painel, os quais serão comentados a seguir.</w:t>
      </w:r>
    </w:p>
    <w:p w14:paraId="7BF70FB8" w14:textId="77777777" w:rsidR="00503090" w:rsidRDefault="00B810AE" w:rsidP="001822F9">
      <w:pPr>
        <w:spacing w:line="360" w:lineRule="auto"/>
        <w:ind w:firstLine="708"/>
        <w:jc w:val="both"/>
        <w:rPr>
          <w:rFonts w:ascii="Arial" w:hAnsi="Arial" w:cs="Arial"/>
          <w:sz w:val="24"/>
          <w:szCs w:val="24"/>
        </w:rPr>
      </w:pPr>
      <w:r w:rsidRPr="00345115">
        <w:rPr>
          <w:rFonts w:ascii="Arial" w:hAnsi="Arial" w:cs="Arial"/>
          <w:sz w:val="24"/>
          <w:szCs w:val="24"/>
        </w:rPr>
        <w:lastRenderedPageBreak/>
        <w:t xml:space="preserve">Os testes de raízes unitárias em dados de painel podem ser divididos em dois grupos. O primeiro grupo incorpora os testes que assumem a existência de um processo de raiz unitária comum, tal que os parâmetros para persistência em cada unidade (ou grupo) possuam a mesma estrutura autorregressiva (no caso, processo autorregressivo de ordem um), além de permitir a existência do efeito individual. Pode-se citar os testes propostos por </w:t>
      </w:r>
      <w:proofErr w:type="spellStart"/>
      <w:r w:rsidRPr="00345115">
        <w:rPr>
          <w:rFonts w:ascii="Arial" w:hAnsi="Arial" w:cs="Arial"/>
          <w:sz w:val="24"/>
          <w:szCs w:val="24"/>
        </w:rPr>
        <w:t>Levin</w:t>
      </w:r>
      <w:proofErr w:type="spellEnd"/>
      <w:r w:rsidRPr="00345115">
        <w:rPr>
          <w:rFonts w:ascii="Arial" w:hAnsi="Arial" w:cs="Arial"/>
          <w:sz w:val="24"/>
          <w:szCs w:val="24"/>
        </w:rPr>
        <w:t xml:space="preserve">, </w:t>
      </w:r>
      <w:proofErr w:type="spellStart"/>
      <w:r w:rsidRPr="00345115">
        <w:rPr>
          <w:rFonts w:ascii="Arial" w:hAnsi="Arial" w:cs="Arial"/>
          <w:sz w:val="24"/>
          <w:szCs w:val="24"/>
        </w:rPr>
        <w:t>Lin</w:t>
      </w:r>
      <w:proofErr w:type="spellEnd"/>
      <w:r w:rsidRPr="00345115">
        <w:rPr>
          <w:rFonts w:ascii="Arial" w:hAnsi="Arial" w:cs="Arial"/>
          <w:sz w:val="24"/>
          <w:szCs w:val="24"/>
        </w:rPr>
        <w:t xml:space="preserve"> e Chu (2002) e </w:t>
      </w:r>
      <w:proofErr w:type="spellStart"/>
      <w:r w:rsidRPr="00345115">
        <w:rPr>
          <w:rFonts w:ascii="Arial" w:hAnsi="Arial" w:cs="Arial"/>
          <w:sz w:val="24"/>
          <w:szCs w:val="24"/>
        </w:rPr>
        <w:t>Breitung</w:t>
      </w:r>
      <w:proofErr w:type="spellEnd"/>
      <w:r w:rsidRPr="00345115">
        <w:rPr>
          <w:rFonts w:ascii="Arial" w:hAnsi="Arial" w:cs="Arial"/>
          <w:sz w:val="24"/>
          <w:szCs w:val="24"/>
        </w:rPr>
        <w:t xml:space="preserve"> (2000), que podem ser considerados como sendo um teste de </w:t>
      </w:r>
      <w:proofErr w:type="spellStart"/>
      <w:r w:rsidRPr="00345115">
        <w:rPr>
          <w:rFonts w:ascii="Arial" w:hAnsi="Arial" w:cs="Arial"/>
          <w:sz w:val="24"/>
          <w:szCs w:val="24"/>
        </w:rPr>
        <w:t>Dickey-Fuller</w:t>
      </w:r>
      <w:proofErr w:type="spellEnd"/>
      <w:r w:rsidRPr="00345115">
        <w:rPr>
          <w:rFonts w:ascii="Arial" w:hAnsi="Arial" w:cs="Arial"/>
          <w:sz w:val="24"/>
          <w:szCs w:val="24"/>
        </w:rPr>
        <w:t xml:space="preserve"> Aumentado (ADF) com dados agrupados. A hipótese nula é a de que cada série do painel seja integrada de ordem um, ou seja, não há estacionariedade em nível para todos os indivíduos.</w:t>
      </w:r>
    </w:p>
    <w:p w14:paraId="26131D65" w14:textId="65013FBD" w:rsidR="00B810AE" w:rsidRPr="00345115" w:rsidRDefault="00B810AE" w:rsidP="001822F9">
      <w:pPr>
        <w:spacing w:line="360" w:lineRule="auto"/>
        <w:ind w:firstLine="708"/>
        <w:jc w:val="both"/>
        <w:rPr>
          <w:rFonts w:ascii="Arial" w:hAnsi="Arial" w:cs="Arial"/>
          <w:sz w:val="24"/>
          <w:szCs w:val="24"/>
        </w:rPr>
      </w:pPr>
      <w:r w:rsidRPr="00345115">
        <w:rPr>
          <w:rFonts w:ascii="Arial" w:hAnsi="Arial" w:cs="Arial"/>
          <w:sz w:val="24"/>
          <w:szCs w:val="24"/>
        </w:rPr>
        <w:t xml:space="preserve"> Por sua vez, a hipótese alternativa admite que todas as séries sejam estacionárias (em nível), uma vez que o termo autorregressivo é comum para todos os indivíduos do painel, sendo denominada também de hipótese alternativa homogênea. Em resumo, </w:t>
      </w:r>
      <w:proofErr w:type="spellStart"/>
      <w:r w:rsidRPr="00345115">
        <w:rPr>
          <w:rFonts w:ascii="Arial" w:hAnsi="Arial" w:cs="Arial"/>
          <w:sz w:val="24"/>
          <w:szCs w:val="24"/>
        </w:rPr>
        <w:t>Levin</w:t>
      </w:r>
      <w:proofErr w:type="spellEnd"/>
      <w:r w:rsidRPr="00345115">
        <w:rPr>
          <w:rFonts w:ascii="Arial" w:hAnsi="Arial" w:cs="Arial"/>
          <w:sz w:val="24"/>
          <w:szCs w:val="24"/>
        </w:rPr>
        <w:t xml:space="preserve">, </w:t>
      </w:r>
      <w:proofErr w:type="spellStart"/>
      <w:r w:rsidRPr="00345115">
        <w:rPr>
          <w:rFonts w:ascii="Arial" w:hAnsi="Arial" w:cs="Arial"/>
          <w:sz w:val="24"/>
          <w:szCs w:val="24"/>
        </w:rPr>
        <w:t>Lin</w:t>
      </w:r>
      <w:proofErr w:type="spellEnd"/>
      <w:r w:rsidRPr="00345115">
        <w:rPr>
          <w:rFonts w:ascii="Arial" w:hAnsi="Arial" w:cs="Arial"/>
          <w:sz w:val="24"/>
          <w:szCs w:val="24"/>
        </w:rPr>
        <w:t xml:space="preserve"> e Chu (2002) generalizaram o teste de raiz unitária individual ADF para painéis com erros correlacionados serialmente heterogêneos, efeitos fixos e tendências determinísticas individuais.</w:t>
      </w:r>
    </w:p>
    <w:p w14:paraId="30D7D45F" w14:textId="0FBCB2B8" w:rsidR="001822F9" w:rsidRPr="00345115" w:rsidRDefault="00B810AE" w:rsidP="001822F9">
      <w:pPr>
        <w:spacing w:line="360" w:lineRule="auto"/>
        <w:ind w:firstLine="708"/>
        <w:jc w:val="both"/>
        <w:rPr>
          <w:rFonts w:ascii="Arial" w:hAnsi="Arial" w:cs="Arial"/>
          <w:sz w:val="24"/>
          <w:szCs w:val="24"/>
        </w:rPr>
      </w:pPr>
      <w:r w:rsidRPr="00345115">
        <w:rPr>
          <w:rFonts w:ascii="Arial" w:hAnsi="Arial" w:cs="Arial"/>
          <w:sz w:val="24"/>
          <w:szCs w:val="24"/>
        </w:rPr>
        <w:t xml:space="preserve">O segundo grupo incorpora os testes que permitem a existência de um processo individual de raiz unitária de forma que os parâmetros de persistência podem variar livremente para cada unidade (grupo). A estatística de teste proposta por </w:t>
      </w:r>
      <w:proofErr w:type="spellStart"/>
      <w:r w:rsidRPr="00345115">
        <w:rPr>
          <w:rFonts w:ascii="Arial" w:hAnsi="Arial" w:cs="Arial"/>
          <w:sz w:val="24"/>
          <w:szCs w:val="24"/>
        </w:rPr>
        <w:t>Im</w:t>
      </w:r>
      <w:proofErr w:type="spellEnd"/>
      <w:r w:rsidRPr="00345115">
        <w:rPr>
          <w:rFonts w:ascii="Arial" w:hAnsi="Arial" w:cs="Arial"/>
          <w:sz w:val="24"/>
          <w:szCs w:val="24"/>
        </w:rPr>
        <w:t xml:space="preserve">, </w:t>
      </w:r>
      <w:proofErr w:type="spellStart"/>
      <w:r w:rsidRPr="00345115">
        <w:rPr>
          <w:rFonts w:ascii="Arial" w:hAnsi="Arial" w:cs="Arial"/>
          <w:sz w:val="24"/>
          <w:szCs w:val="24"/>
        </w:rPr>
        <w:t>Pesaran</w:t>
      </w:r>
      <w:proofErr w:type="spellEnd"/>
      <w:r w:rsidRPr="00345115">
        <w:rPr>
          <w:rFonts w:ascii="Arial" w:hAnsi="Arial" w:cs="Arial"/>
          <w:sz w:val="24"/>
          <w:szCs w:val="24"/>
        </w:rPr>
        <w:t xml:space="preserve"> e </w:t>
      </w:r>
      <w:proofErr w:type="spellStart"/>
      <w:r w:rsidRPr="00345115">
        <w:rPr>
          <w:rFonts w:ascii="Arial" w:hAnsi="Arial" w:cs="Arial"/>
          <w:sz w:val="24"/>
          <w:szCs w:val="24"/>
        </w:rPr>
        <w:t>Shin</w:t>
      </w:r>
      <w:proofErr w:type="spellEnd"/>
      <w:r w:rsidRPr="00345115">
        <w:rPr>
          <w:rFonts w:ascii="Arial" w:hAnsi="Arial" w:cs="Arial"/>
          <w:sz w:val="24"/>
          <w:szCs w:val="24"/>
        </w:rPr>
        <w:t xml:space="preserve"> (2003) é o resultado de uma média das estatísticas-t de </w:t>
      </w:r>
      <w:proofErr w:type="spellStart"/>
      <w:r w:rsidRPr="00345115">
        <w:rPr>
          <w:rFonts w:ascii="Arial" w:hAnsi="Arial" w:cs="Arial"/>
          <w:sz w:val="24"/>
          <w:szCs w:val="24"/>
        </w:rPr>
        <w:t>Dickey-Fuller</w:t>
      </w:r>
      <w:proofErr w:type="spellEnd"/>
      <w:r w:rsidRPr="00345115">
        <w:rPr>
          <w:rFonts w:ascii="Arial" w:hAnsi="Arial" w:cs="Arial"/>
          <w:sz w:val="24"/>
          <w:szCs w:val="24"/>
        </w:rPr>
        <w:t xml:space="preserve"> sobre cada unidade do painel, em que a hipótese nula assume que todas as séries são não estacionárias, ao passo que, na hipótese alternativa, pelo menos uma série (ou uma parcela de séries) é estacionária com coeficientes autorregressivos distintos, também definida por hipótese alternativa heterogênea. Esse teste assume a estrutura do teste ADF ao permitir que as defasagens para a variável dependente possam ser inseridas, o que possibilita a autocorrelação do erro para cada série.</w:t>
      </w:r>
    </w:p>
    <w:p w14:paraId="4BEC47F4" w14:textId="7BC1E1DB" w:rsidR="001822F9" w:rsidRDefault="00B810AE" w:rsidP="00345115">
      <w:pPr>
        <w:spacing w:line="360" w:lineRule="auto"/>
        <w:ind w:firstLine="708"/>
        <w:jc w:val="both"/>
        <w:rPr>
          <w:rFonts w:ascii="Arial" w:hAnsi="Arial" w:cs="Arial"/>
          <w:sz w:val="24"/>
          <w:szCs w:val="24"/>
        </w:rPr>
      </w:pPr>
      <w:r w:rsidRPr="00345115">
        <w:rPr>
          <w:rFonts w:ascii="Arial" w:hAnsi="Arial" w:cs="Arial"/>
          <w:sz w:val="24"/>
          <w:szCs w:val="24"/>
        </w:rPr>
        <w:t xml:space="preserve"> Em resumo, </w:t>
      </w:r>
      <w:proofErr w:type="spellStart"/>
      <w:r w:rsidRPr="00345115">
        <w:rPr>
          <w:rFonts w:ascii="Arial" w:hAnsi="Arial" w:cs="Arial"/>
          <w:sz w:val="24"/>
          <w:szCs w:val="24"/>
        </w:rPr>
        <w:t>Im</w:t>
      </w:r>
      <w:proofErr w:type="spellEnd"/>
      <w:r w:rsidRPr="00345115">
        <w:rPr>
          <w:rFonts w:ascii="Arial" w:hAnsi="Arial" w:cs="Arial"/>
          <w:sz w:val="24"/>
          <w:szCs w:val="24"/>
        </w:rPr>
        <w:t xml:space="preserve">, </w:t>
      </w:r>
      <w:proofErr w:type="spellStart"/>
      <w:r w:rsidRPr="00345115">
        <w:rPr>
          <w:rFonts w:ascii="Arial" w:hAnsi="Arial" w:cs="Arial"/>
          <w:sz w:val="24"/>
          <w:szCs w:val="24"/>
        </w:rPr>
        <w:t>Pesaran</w:t>
      </w:r>
      <w:proofErr w:type="spellEnd"/>
      <w:r w:rsidRPr="00345115">
        <w:rPr>
          <w:rFonts w:ascii="Arial" w:hAnsi="Arial" w:cs="Arial"/>
          <w:sz w:val="24"/>
          <w:szCs w:val="24"/>
        </w:rPr>
        <w:t xml:space="preserve"> e </w:t>
      </w:r>
      <w:proofErr w:type="spellStart"/>
      <w:r w:rsidRPr="00345115">
        <w:rPr>
          <w:rFonts w:ascii="Arial" w:hAnsi="Arial" w:cs="Arial"/>
          <w:sz w:val="24"/>
          <w:szCs w:val="24"/>
        </w:rPr>
        <w:t>Shin</w:t>
      </w:r>
      <w:proofErr w:type="spellEnd"/>
      <w:r w:rsidRPr="00345115">
        <w:rPr>
          <w:rFonts w:ascii="Arial" w:hAnsi="Arial" w:cs="Arial"/>
          <w:sz w:val="24"/>
          <w:szCs w:val="24"/>
        </w:rPr>
        <w:t xml:space="preserve"> (2003) propuseram um teste de raiz unitária em dados de painel que permite a presença de um coeficiente autorregressivo heterogêneo sob a hipótese alternativa. </w:t>
      </w:r>
    </w:p>
    <w:p w14:paraId="3D8C1BEB" w14:textId="77777777" w:rsidR="00B406F3" w:rsidRPr="00345115" w:rsidRDefault="00B406F3" w:rsidP="00B406F3">
      <w:pPr>
        <w:autoSpaceDE w:val="0"/>
        <w:autoSpaceDN w:val="0"/>
        <w:adjustRightInd w:val="0"/>
        <w:spacing w:after="0" w:line="360" w:lineRule="auto"/>
        <w:ind w:firstLine="708"/>
        <w:jc w:val="both"/>
        <w:rPr>
          <w:rFonts w:ascii="Arial" w:hAnsi="Arial" w:cs="Arial"/>
          <w:sz w:val="24"/>
          <w:szCs w:val="24"/>
        </w:rPr>
      </w:pPr>
      <w:r w:rsidRPr="00345115">
        <w:rPr>
          <w:rFonts w:ascii="Arial" w:hAnsi="Arial" w:cs="Arial"/>
          <w:sz w:val="24"/>
          <w:szCs w:val="24"/>
        </w:rPr>
        <w:t xml:space="preserve">Já os testes ADF-Fisher e o PP-Fisher (BALTAGI, 2013, cap. 12, p. 275-287) não levam em conta as estatísticas-t, mas derivam da combinação dos </w:t>
      </w:r>
      <w:r w:rsidRPr="00345115">
        <w:rPr>
          <w:rFonts w:ascii="Arial" w:hAnsi="Arial" w:cs="Arial"/>
          <w:sz w:val="24"/>
          <w:szCs w:val="24"/>
        </w:rPr>
        <w:lastRenderedPageBreak/>
        <w:t xml:space="preserve">valores-p de cada teste de raiz unitária individual. </w:t>
      </w:r>
      <w:proofErr w:type="spellStart"/>
      <w:r w:rsidRPr="00345115">
        <w:rPr>
          <w:rFonts w:ascii="Arial" w:hAnsi="Arial" w:cs="Arial"/>
          <w:sz w:val="24"/>
          <w:szCs w:val="24"/>
        </w:rPr>
        <w:t>Maddala</w:t>
      </w:r>
      <w:proofErr w:type="spellEnd"/>
      <w:r w:rsidRPr="00345115">
        <w:rPr>
          <w:rFonts w:ascii="Arial" w:hAnsi="Arial" w:cs="Arial"/>
          <w:sz w:val="24"/>
          <w:szCs w:val="24"/>
        </w:rPr>
        <w:t xml:space="preserve"> e Wu (1999) e </w:t>
      </w:r>
      <w:proofErr w:type="spellStart"/>
      <w:r w:rsidRPr="00345115">
        <w:rPr>
          <w:rFonts w:ascii="Arial" w:hAnsi="Arial" w:cs="Arial"/>
          <w:sz w:val="24"/>
          <w:szCs w:val="24"/>
        </w:rPr>
        <w:t>Choi</w:t>
      </w:r>
      <w:proofErr w:type="spellEnd"/>
      <w:r w:rsidRPr="00345115">
        <w:rPr>
          <w:rFonts w:ascii="Arial" w:hAnsi="Arial" w:cs="Arial"/>
          <w:sz w:val="24"/>
          <w:szCs w:val="24"/>
        </w:rPr>
        <w:t xml:space="preserve"> (2001) propuseram testes de raiz unitária em dados de painel, do tipo Fisher, em que se combina os valores-p de testes de raiz unitária individual. Os testes </w:t>
      </w:r>
      <w:proofErr w:type="spellStart"/>
      <w:r w:rsidRPr="00345115">
        <w:rPr>
          <w:rFonts w:ascii="Arial" w:hAnsi="Arial" w:cs="Arial"/>
          <w:sz w:val="24"/>
          <w:szCs w:val="24"/>
        </w:rPr>
        <w:t>Dickey-Fuller</w:t>
      </w:r>
      <w:proofErr w:type="spellEnd"/>
      <w:r w:rsidRPr="00345115">
        <w:rPr>
          <w:rFonts w:ascii="Arial" w:hAnsi="Arial" w:cs="Arial"/>
          <w:sz w:val="24"/>
          <w:szCs w:val="24"/>
        </w:rPr>
        <w:t xml:space="preserve"> Aumentado (ADF) Tipo Fisher e Phillips-Perron (PP) não exigem que o painel seja balanceado, nem possua comprimento idêntico de defasagens nas regressões individuais. Todavia, nesses dois testes, os valores-p precisam ser obtidos a partir de simulações de Monte Carlo. </w:t>
      </w:r>
      <w:proofErr w:type="spellStart"/>
      <w:r w:rsidRPr="00345115">
        <w:rPr>
          <w:rFonts w:ascii="Arial" w:hAnsi="Arial" w:cs="Arial"/>
          <w:sz w:val="24"/>
          <w:szCs w:val="24"/>
        </w:rPr>
        <w:t>Maddala</w:t>
      </w:r>
      <w:proofErr w:type="spellEnd"/>
      <w:r w:rsidRPr="00345115">
        <w:rPr>
          <w:rFonts w:ascii="Arial" w:hAnsi="Arial" w:cs="Arial"/>
          <w:sz w:val="24"/>
          <w:szCs w:val="24"/>
        </w:rPr>
        <w:t xml:space="preserve"> e Wu (1999) argumentam que o teste Tipo Fisher com valores-p obtidos via técnicas de </w:t>
      </w:r>
      <w:proofErr w:type="spellStart"/>
      <w:r w:rsidRPr="00345115">
        <w:rPr>
          <w:rFonts w:ascii="Arial" w:hAnsi="Arial" w:cs="Arial"/>
          <w:sz w:val="24"/>
          <w:szCs w:val="24"/>
        </w:rPr>
        <w:t>bootstrap</w:t>
      </w:r>
      <w:proofErr w:type="spellEnd"/>
      <w:r w:rsidRPr="00345115">
        <w:rPr>
          <w:rFonts w:ascii="Arial" w:hAnsi="Arial" w:cs="Arial"/>
          <w:sz w:val="24"/>
          <w:szCs w:val="24"/>
        </w:rPr>
        <w:t xml:space="preserve"> são uma excelente escolha para se testar também </w:t>
      </w:r>
      <w:proofErr w:type="spellStart"/>
      <w:r w:rsidRPr="00345115">
        <w:rPr>
          <w:rFonts w:ascii="Arial" w:hAnsi="Arial" w:cs="Arial"/>
          <w:sz w:val="24"/>
          <w:szCs w:val="24"/>
        </w:rPr>
        <w:t>cointegração</w:t>
      </w:r>
      <w:proofErr w:type="spellEnd"/>
      <w:r w:rsidRPr="00345115">
        <w:rPr>
          <w:rFonts w:ascii="Arial" w:hAnsi="Arial" w:cs="Arial"/>
          <w:sz w:val="24"/>
          <w:szCs w:val="24"/>
        </w:rPr>
        <w:t xml:space="preserve"> em painéis não estacionários. </w:t>
      </w:r>
    </w:p>
    <w:p w14:paraId="5802883E" w14:textId="77777777" w:rsidR="00B406F3" w:rsidRPr="00345115" w:rsidRDefault="00B406F3" w:rsidP="00345115">
      <w:pPr>
        <w:spacing w:line="360" w:lineRule="auto"/>
        <w:ind w:firstLine="708"/>
        <w:jc w:val="both"/>
        <w:rPr>
          <w:rFonts w:ascii="Arial" w:hAnsi="Arial" w:cs="Arial"/>
          <w:sz w:val="24"/>
          <w:szCs w:val="24"/>
        </w:rPr>
      </w:pPr>
    </w:p>
    <w:p w14:paraId="1929E074" w14:textId="77E94AEC" w:rsidR="00B810AE" w:rsidRPr="00345115" w:rsidRDefault="00B810AE" w:rsidP="00F475A3">
      <w:pPr>
        <w:autoSpaceDE w:val="0"/>
        <w:autoSpaceDN w:val="0"/>
        <w:adjustRightInd w:val="0"/>
        <w:spacing w:after="0" w:line="360" w:lineRule="auto"/>
        <w:jc w:val="both"/>
        <w:rPr>
          <w:rFonts w:ascii="Arial" w:hAnsi="Arial" w:cs="Arial"/>
          <w:sz w:val="24"/>
          <w:szCs w:val="24"/>
        </w:rPr>
      </w:pPr>
      <w:r w:rsidRPr="00345115">
        <w:rPr>
          <w:rFonts w:ascii="Arial" w:hAnsi="Arial" w:cs="Arial"/>
          <w:sz w:val="24"/>
          <w:szCs w:val="24"/>
        </w:rPr>
        <w:t>Tabela 1 – Resumo das principais características dos testes de raízes unitárias em dados de painel</w:t>
      </w:r>
    </w:p>
    <w:tbl>
      <w:tblPr>
        <w:tblStyle w:val="Tabelacomgrade"/>
        <w:tblW w:w="0" w:type="auto"/>
        <w:tblLook w:val="04A0" w:firstRow="1" w:lastRow="0" w:firstColumn="1" w:lastColumn="0" w:noHBand="0" w:noVBand="1"/>
      </w:tblPr>
      <w:tblGrid>
        <w:gridCol w:w="1605"/>
        <w:gridCol w:w="1386"/>
        <w:gridCol w:w="1386"/>
        <w:gridCol w:w="1356"/>
        <w:gridCol w:w="1386"/>
        <w:gridCol w:w="1375"/>
      </w:tblGrid>
      <w:tr w:rsidR="00B810AE" w:rsidRPr="00345115" w14:paraId="2BAFA1A0" w14:textId="77777777" w:rsidTr="00F475A3">
        <w:tc>
          <w:tcPr>
            <w:tcW w:w="0" w:type="auto"/>
          </w:tcPr>
          <w:p w14:paraId="76947C82" w14:textId="77777777" w:rsidR="00B810AE" w:rsidRPr="00345115" w:rsidRDefault="00B810AE" w:rsidP="00F475A3">
            <w:pPr>
              <w:contextualSpacing/>
              <w:jc w:val="both"/>
              <w:rPr>
                <w:rFonts w:ascii="Arial" w:hAnsi="Arial" w:cs="Arial"/>
                <w:b/>
              </w:rPr>
            </w:pPr>
            <w:r w:rsidRPr="00345115">
              <w:rPr>
                <w:rFonts w:ascii="Arial" w:hAnsi="Arial" w:cs="Arial"/>
                <w:b/>
              </w:rPr>
              <w:t>Testes</w:t>
            </w:r>
          </w:p>
        </w:tc>
        <w:tc>
          <w:tcPr>
            <w:tcW w:w="0" w:type="auto"/>
          </w:tcPr>
          <w:p w14:paraId="3979742C" w14:textId="77777777" w:rsidR="00B810AE" w:rsidRPr="00345115" w:rsidRDefault="00B810AE" w:rsidP="00F475A3">
            <w:pPr>
              <w:contextualSpacing/>
              <w:jc w:val="both"/>
              <w:rPr>
                <w:rFonts w:ascii="Arial" w:hAnsi="Arial" w:cs="Arial"/>
                <w:b/>
              </w:rPr>
            </w:pPr>
            <w:r w:rsidRPr="00345115">
              <w:rPr>
                <w:rFonts w:ascii="Arial" w:hAnsi="Arial" w:cs="Arial"/>
                <w:b/>
              </w:rPr>
              <w:t>LLC</w:t>
            </w:r>
          </w:p>
        </w:tc>
        <w:tc>
          <w:tcPr>
            <w:tcW w:w="0" w:type="auto"/>
          </w:tcPr>
          <w:p w14:paraId="036A9A06" w14:textId="77777777" w:rsidR="00B810AE" w:rsidRPr="00345115" w:rsidRDefault="00B810AE" w:rsidP="00F475A3">
            <w:pPr>
              <w:contextualSpacing/>
              <w:jc w:val="both"/>
              <w:rPr>
                <w:rFonts w:ascii="Arial" w:hAnsi="Arial" w:cs="Arial"/>
                <w:b/>
              </w:rPr>
            </w:pPr>
            <w:proofErr w:type="spellStart"/>
            <w:r w:rsidRPr="00345115">
              <w:rPr>
                <w:rFonts w:ascii="Arial" w:hAnsi="Arial" w:cs="Arial"/>
                <w:b/>
              </w:rPr>
              <w:t>Breitung</w:t>
            </w:r>
            <w:proofErr w:type="spellEnd"/>
          </w:p>
        </w:tc>
        <w:tc>
          <w:tcPr>
            <w:tcW w:w="0" w:type="auto"/>
          </w:tcPr>
          <w:p w14:paraId="2BA38A15" w14:textId="77777777" w:rsidR="00B810AE" w:rsidRPr="00345115" w:rsidRDefault="00B810AE" w:rsidP="00F475A3">
            <w:pPr>
              <w:contextualSpacing/>
              <w:jc w:val="both"/>
              <w:rPr>
                <w:rFonts w:ascii="Arial" w:hAnsi="Arial" w:cs="Arial"/>
                <w:b/>
              </w:rPr>
            </w:pPr>
            <w:r w:rsidRPr="00345115">
              <w:rPr>
                <w:rFonts w:ascii="Arial" w:hAnsi="Arial" w:cs="Arial"/>
                <w:b/>
              </w:rPr>
              <w:t>IPS</w:t>
            </w:r>
          </w:p>
        </w:tc>
        <w:tc>
          <w:tcPr>
            <w:tcW w:w="0" w:type="auto"/>
          </w:tcPr>
          <w:p w14:paraId="3BF5206B" w14:textId="77777777" w:rsidR="00B810AE" w:rsidRPr="00345115" w:rsidRDefault="00B810AE" w:rsidP="00F475A3">
            <w:pPr>
              <w:contextualSpacing/>
              <w:jc w:val="both"/>
              <w:rPr>
                <w:rFonts w:ascii="Arial" w:hAnsi="Arial" w:cs="Arial"/>
                <w:b/>
              </w:rPr>
            </w:pPr>
            <w:r w:rsidRPr="00345115">
              <w:rPr>
                <w:rFonts w:ascii="Arial" w:hAnsi="Arial" w:cs="Arial"/>
                <w:b/>
              </w:rPr>
              <w:t>ADF-Fisher</w:t>
            </w:r>
          </w:p>
        </w:tc>
        <w:tc>
          <w:tcPr>
            <w:tcW w:w="0" w:type="auto"/>
          </w:tcPr>
          <w:p w14:paraId="45E98C13" w14:textId="77777777" w:rsidR="00B810AE" w:rsidRPr="00345115" w:rsidRDefault="00B810AE" w:rsidP="00F475A3">
            <w:pPr>
              <w:contextualSpacing/>
              <w:jc w:val="both"/>
              <w:rPr>
                <w:rFonts w:ascii="Arial" w:hAnsi="Arial" w:cs="Arial"/>
                <w:b/>
              </w:rPr>
            </w:pPr>
            <w:r w:rsidRPr="00345115">
              <w:rPr>
                <w:rFonts w:ascii="Arial" w:hAnsi="Arial" w:cs="Arial"/>
                <w:b/>
              </w:rPr>
              <w:t>PP-Fisher</w:t>
            </w:r>
          </w:p>
        </w:tc>
      </w:tr>
      <w:tr w:rsidR="00B810AE" w:rsidRPr="00345115" w14:paraId="0B4599EC" w14:textId="77777777" w:rsidTr="00F475A3">
        <w:tc>
          <w:tcPr>
            <w:tcW w:w="0" w:type="auto"/>
          </w:tcPr>
          <w:p w14:paraId="0BD8401C" w14:textId="77777777" w:rsidR="00B810AE" w:rsidRPr="00345115" w:rsidRDefault="00B810AE" w:rsidP="00F475A3">
            <w:pPr>
              <w:contextualSpacing/>
              <w:jc w:val="both"/>
              <w:rPr>
                <w:rFonts w:ascii="Arial" w:hAnsi="Arial" w:cs="Arial"/>
              </w:rPr>
            </w:pPr>
            <w:r w:rsidRPr="00345115">
              <w:rPr>
                <w:rFonts w:ascii="Arial" w:hAnsi="Arial" w:cs="Arial"/>
              </w:rPr>
              <w:t>H</w:t>
            </w:r>
            <w:r w:rsidRPr="00345115">
              <w:rPr>
                <w:rFonts w:ascii="Arial" w:hAnsi="Arial" w:cs="Arial"/>
                <w:vertAlign w:val="subscript"/>
              </w:rPr>
              <w:t>0</w:t>
            </w:r>
          </w:p>
        </w:tc>
        <w:tc>
          <w:tcPr>
            <w:tcW w:w="0" w:type="auto"/>
          </w:tcPr>
          <w:p w14:paraId="02202281" w14:textId="77777777" w:rsidR="00B810AE" w:rsidRPr="00345115" w:rsidRDefault="00B810AE" w:rsidP="00F475A3">
            <w:pPr>
              <w:contextualSpacing/>
              <w:jc w:val="both"/>
              <w:rPr>
                <w:rFonts w:ascii="Arial" w:hAnsi="Arial" w:cs="Arial"/>
              </w:rPr>
            </w:pPr>
            <w:r w:rsidRPr="00345115">
              <w:rPr>
                <w:rFonts w:ascii="Arial" w:hAnsi="Arial" w:cs="Arial"/>
              </w:rPr>
              <w:t>Presença de raiz unitária</w:t>
            </w:r>
          </w:p>
        </w:tc>
        <w:tc>
          <w:tcPr>
            <w:tcW w:w="0" w:type="auto"/>
          </w:tcPr>
          <w:p w14:paraId="25D86869" w14:textId="77777777" w:rsidR="00B810AE" w:rsidRPr="00345115" w:rsidRDefault="00B810AE" w:rsidP="00F475A3">
            <w:pPr>
              <w:contextualSpacing/>
              <w:jc w:val="both"/>
              <w:rPr>
                <w:rFonts w:ascii="Arial" w:hAnsi="Arial" w:cs="Arial"/>
              </w:rPr>
            </w:pPr>
            <w:r w:rsidRPr="00345115">
              <w:rPr>
                <w:rFonts w:ascii="Arial" w:hAnsi="Arial" w:cs="Arial"/>
              </w:rPr>
              <w:t>Presença de raiz unitária</w:t>
            </w:r>
          </w:p>
        </w:tc>
        <w:tc>
          <w:tcPr>
            <w:tcW w:w="0" w:type="auto"/>
          </w:tcPr>
          <w:p w14:paraId="7A2A4ACD" w14:textId="77777777" w:rsidR="00B810AE" w:rsidRPr="00345115" w:rsidRDefault="00B810AE" w:rsidP="00F475A3">
            <w:pPr>
              <w:contextualSpacing/>
              <w:jc w:val="both"/>
              <w:rPr>
                <w:rFonts w:ascii="Arial" w:hAnsi="Arial" w:cs="Arial"/>
              </w:rPr>
            </w:pPr>
            <w:r w:rsidRPr="00345115">
              <w:rPr>
                <w:rFonts w:ascii="Arial" w:hAnsi="Arial" w:cs="Arial"/>
              </w:rPr>
              <w:t>Presença de raiz unitária</w:t>
            </w:r>
          </w:p>
        </w:tc>
        <w:tc>
          <w:tcPr>
            <w:tcW w:w="0" w:type="auto"/>
          </w:tcPr>
          <w:p w14:paraId="43849654" w14:textId="77777777" w:rsidR="00B810AE" w:rsidRPr="00345115" w:rsidRDefault="00B810AE" w:rsidP="00F475A3">
            <w:pPr>
              <w:contextualSpacing/>
              <w:jc w:val="both"/>
              <w:rPr>
                <w:rFonts w:ascii="Arial" w:hAnsi="Arial" w:cs="Arial"/>
              </w:rPr>
            </w:pPr>
            <w:r w:rsidRPr="00345115">
              <w:rPr>
                <w:rFonts w:ascii="Arial" w:hAnsi="Arial" w:cs="Arial"/>
              </w:rPr>
              <w:t>Presença de raiz unitária</w:t>
            </w:r>
          </w:p>
        </w:tc>
        <w:tc>
          <w:tcPr>
            <w:tcW w:w="0" w:type="auto"/>
          </w:tcPr>
          <w:p w14:paraId="5087F818" w14:textId="77777777" w:rsidR="00B810AE" w:rsidRPr="00345115" w:rsidRDefault="00B810AE" w:rsidP="00F475A3">
            <w:pPr>
              <w:contextualSpacing/>
              <w:jc w:val="both"/>
              <w:rPr>
                <w:rFonts w:ascii="Arial" w:hAnsi="Arial" w:cs="Arial"/>
              </w:rPr>
            </w:pPr>
            <w:r w:rsidRPr="00345115">
              <w:rPr>
                <w:rFonts w:ascii="Arial" w:hAnsi="Arial" w:cs="Arial"/>
              </w:rPr>
              <w:t>Presença de raiz unitária</w:t>
            </w:r>
          </w:p>
        </w:tc>
      </w:tr>
      <w:tr w:rsidR="00B810AE" w:rsidRPr="00345115" w14:paraId="5CCFD888" w14:textId="77777777" w:rsidTr="00F475A3">
        <w:tc>
          <w:tcPr>
            <w:tcW w:w="0" w:type="auto"/>
          </w:tcPr>
          <w:p w14:paraId="082EA71D" w14:textId="77777777" w:rsidR="00B810AE" w:rsidRPr="00345115" w:rsidRDefault="00B810AE" w:rsidP="00F475A3">
            <w:pPr>
              <w:contextualSpacing/>
              <w:jc w:val="both"/>
              <w:rPr>
                <w:rFonts w:ascii="Arial" w:hAnsi="Arial" w:cs="Arial"/>
              </w:rPr>
            </w:pPr>
            <w:r w:rsidRPr="00345115">
              <w:rPr>
                <w:rFonts w:ascii="Arial" w:hAnsi="Arial" w:cs="Arial"/>
              </w:rPr>
              <w:t>H</w:t>
            </w:r>
            <w:r w:rsidRPr="00345115">
              <w:rPr>
                <w:rFonts w:ascii="Arial" w:hAnsi="Arial" w:cs="Arial"/>
                <w:vertAlign w:val="subscript"/>
              </w:rPr>
              <w:t>1</w:t>
            </w:r>
          </w:p>
        </w:tc>
        <w:tc>
          <w:tcPr>
            <w:tcW w:w="0" w:type="auto"/>
          </w:tcPr>
          <w:p w14:paraId="00CDB5BE" w14:textId="77777777" w:rsidR="00B810AE" w:rsidRPr="00345115" w:rsidRDefault="00B810AE" w:rsidP="00F475A3">
            <w:pPr>
              <w:contextualSpacing/>
              <w:jc w:val="both"/>
              <w:rPr>
                <w:rFonts w:ascii="Arial" w:hAnsi="Arial" w:cs="Arial"/>
              </w:rPr>
            </w:pPr>
            <w:r w:rsidRPr="00345115">
              <w:rPr>
                <w:rFonts w:ascii="Arial" w:hAnsi="Arial" w:cs="Arial"/>
              </w:rPr>
              <w:t>Ausência de raiz unitária</w:t>
            </w:r>
          </w:p>
        </w:tc>
        <w:tc>
          <w:tcPr>
            <w:tcW w:w="0" w:type="auto"/>
          </w:tcPr>
          <w:p w14:paraId="6EC1E1F5" w14:textId="77777777" w:rsidR="00B810AE" w:rsidRPr="00345115" w:rsidRDefault="00B810AE" w:rsidP="00F475A3">
            <w:pPr>
              <w:contextualSpacing/>
              <w:jc w:val="both"/>
              <w:rPr>
                <w:rFonts w:ascii="Arial" w:hAnsi="Arial" w:cs="Arial"/>
              </w:rPr>
            </w:pPr>
            <w:r w:rsidRPr="00345115">
              <w:rPr>
                <w:rFonts w:ascii="Arial" w:hAnsi="Arial" w:cs="Arial"/>
              </w:rPr>
              <w:t>Ausência de raiz unitária</w:t>
            </w:r>
          </w:p>
        </w:tc>
        <w:tc>
          <w:tcPr>
            <w:tcW w:w="0" w:type="auto"/>
          </w:tcPr>
          <w:p w14:paraId="1F066D17" w14:textId="77777777" w:rsidR="00B810AE" w:rsidRPr="00345115" w:rsidRDefault="00B810AE" w:rsidP="00F475A3">
            <w:pPr>
              <w:contextualSpacing/>
              <w:jc w:val="both"/>
              <w:rPr>
                <w:rFonts w:ascii="Arial" w:hAnsi="Arial" w:cs="Arial"/>
              </w:rPr>
            </w:pPr>
            <w:r w:rsidRPr="00345115">
              <w:rPr>
                <w:rFonts w:ascii="Arial" w:hAnsi="Arial" w:cs="Arial"/>
              </w:rPr>
              <w:t xml:space="preserve">Pelo menos 1 unidade </w:t>
            </w:r>
            <w:r w:rsidRPr="00345115">
              <w:rPr>
                <w:rFonts w:ascii="Arial" w:hAnsi="Arial" w:cs="Arial"/>
                <w:i/>
              </w:rPr>
              <w:t>cross-section</w:t>
            </w:r>
            <w:r w:rsidRPr="00345115">
              <w:rPr>
                <w:rFonts w:ascii="Arial" w:hAnsi="Arial" w:cs="Arial"/>
              </w:rPr>
              <w:t xml:space="preserve"> sem raiz unitária</w:t>
            </w:r>
          </w:p>
        </w:tc>
        <w:tc>
          <w:tcPr>
            <w:tcW w:w="0" w:type="auto"/>
          </w:tcPr>
          <w:p w14:paraId="5493DEC0" w14:textId="77777777" w:rsidR="00B810AE" w:rsidRPr="00345115" w:rsidRDefault="00B810AE" w:rsidP="00F475A3">
            <w:pPr>
              <w:contextualSpacing/>
              <w:jc w:val="both"/>
              <w:rPr>
                <w:rFonts w:ascii="Arial" w:hAnsi="Arial" w:cs="Arial"/>
              </w:rPr>
            </w:pPr>
            <w:r w:rsidRPr="00345115">
              <w:rPr>
                <w:rFonts w:ascii="Arial" w:hAnsi="Arial" w:cs="Arial"/>
              </w:rPr>
              <w:t xml:space="preserve">Pelo menos 1 unidade </w:t>
            </w:r>
            <w:r w:rsidRPr="00345115">
              <w:rPr>
                <w:rFonts w:ascii="Arial" w:hAnsi="Arial" w:cs="Arial"/>
                <w:i/>
              </w:rPr>
              <w:t>cross-section</w:t>
            </w:r>
            <w:r w:rsidRPr="00345115">
              <w:rPr>
                <w:rFonts w:ascii="Arial" w:hAnsi="Arial" w:cs="Arial"/>
              </w:rPr>
              <w:t xml:space="preserve"> sem raiz unitária</w:t>
            </w:r>
          </w:p>
        </w:tc>
        <w:tc>
          <w:tcPr>
            <w:tcW w:w="0" w:type="auto"/>
          </w:tcPr>
          <w:p w14:paraId="47D54BF5" w14:textId="77777777" w:rsidR="00B810AE" w:rsidRPr="00345115" w:rsidRDefault="00B810AE" w:rsidP="00F475A3">
            <w:pPr>
              <w:contextualSpacing/>
              <w:jc w:val="both"/>
              <w:rPr>
                <w:rFonts w:ascii="Arial" w:hAnsi="Arial" w:cs="Arial"/>
              </w:rPr>
            </w:pPr>
            <w:r w:rsidRPr="00345115">
              <w:rPr>
                <w:rFonts w:ascii="Arial" w:hAnsi="Arial" w:cs="Arial"/>
              </w:rPr>
              <w:t xml:space="preserve">Pelo menos 1 unidade </w:t>
            </w:r>
            <w:r w:rsidRPr="00345115">
              <w:rPr>
                <w:rFonts w:ascii="Arial" w:hAnsi="Arial" w:cs="Arial"/>
                <w:i/>
              </w:rPr>
              <w:t>cross-section</w:t>
            </w:r>
            <w:r w:rsidRPr="00345115">
              <w:rPr>
                <w:rFonts w:ascii="Arial" w:hAnsi="Arial" w:cs="Arial"/>
              </w:rPr>
              <w:t xml:space="preserve"> sem raiz unitária</w:t>
            </w:r>
          </w:p>
        </w:tc>
      </w:tr>
      <w:tr w:rsidR="00B810AE" w:rsidRPr="00345115" w14:paraId="0D80A719" w14:textId="77777777" w:rsidTr="00F475A3">
        <w:tc>
          <w:tcPr>
            <w:tcW w:w="0" w:type="auto"/>
          </w:tcPr>
          <w:p w14:paraId="2CB2D424" w14:textId="77777777" w:rsidR="00B810AE" w:rsidRPr="00345115" w:rsidRDefault="00B810AE" w:rsidP="00F475A3">
            <w:pPr>
              <w:contextualSpacing/>
              <w:jc w:val="both"/>
              <w:rPr>
                <w:rFonts w:ascii="Arial" w:hAnsi="Arial" w:cs="Arial"/>
              </w:rPr>
            </w:pPr>
            <w:r w:rsidRPr="00345115">
              <w:rPr>
                <w:rFonts w:ascii="Arial" w:hAnsi="Arial" w:cs="Arial"/>
              </w:rPr>
              <w:t>Componentes determinísticos possíveis</w:t>
            </w:r>
          </w:p>
        </w:tc>
        <w:tc>
          <w:tcPr>
            <w:tcW w:w="0" w:type="auto"/>
          </w:tcPr>
          <w:p w14:paraId="638130C8" w14:textId="77777777" w:rsidR="00B810AE" w:rsidRPr="00345115" w:rsidRDefault="00B810AE" w:rsidP="00F475A3">
            <w:pPr>
              <w:contextualSpacing/>
              <w:jc w:val="both"/>
              <w:rPr>
                <w:rFonts w:ascii="Arial" w:hAnsi="Arial" w:cs="Arial"/>
              </w:rPr>
            </w:pPr>
            <w:r w:rsidRPr="00345115">
              <w:rPr>
                <w:rFonts w:ascii="Arial" w:hAnsi="Arial" w:cs="Arial"/>
              </w:rPr>
              <w:t>Nenhuma variável exógena, efeitos fixos e efeito individual e tendência</w:t>
            </w:r>
          </w:p>
        </w:tc>
        <w:tc>
          <w:tcPr>
            <w:tcW w:w="0" w:type="auto"/>
          </w:tcPr>
          <w:p w14:paraId="6E396256" w14:textId="77777777" w:rsidR="00B810AE" w:rsidRPr="00345115" w:rsidRDefault="00B810AE" w:rsidP="00F475A3">
            <w:pPr>
              <w:contextualSpacing/>
              <w:jc w:val="both"/>
              <w:rPr>
                <w:rFonts w:ascii="Arial" w:hAnsi="Arial" w:cs="Arial"/>
              </w:rPr>
            </w:pPr>
            <w:r w:rsidRPr="00345115">
              <w:rPr>
                <w:rFonts w:ascii="Arial" w:hAnsi="Arial" w:cs="Arial"/>
              </w:rPr>
              <w:t>Nenhuma variável exógena, efeitos fixos e efeito individual e tendência</w:t>
            </w:r>
          </w:p>
        </w:tc>
        <w:tc>
          <w:tcPr>
            <w:tcW w:w="0" w:type="auto"/>
          </w:tcPr>
          <w:p w14:paraId="2A7E7CD9" w14:textId="77777777" w:rsidR="00B810AE" w:rsidRPr="00345115" w:rsidRDefault="00B810AE" w:rsidP="00F475A3">
            <w:pPr>
              <w:contextualSpacing/>
              <w:jc w:val="both"/>
              <w:rPr>
                <w:rFonts w:ascii="Arial" w:hAnsi="Arial" w:cs="Arial"/>
              </w:rPr>
            </w:pPr>
            <w:r w:rsidRPr="00345115">
              <w:rPr>
                <w:rFonts w:ascii="Arial" w:hAnsi="Arial" w:cs="Arial"/>
              </w:rPr>
              <w:t>Efeitos fixos e efeito individual e tendência</w:t>
            </w:r>
          </w:p>
        </w:tc>
        <w:tc>
          <w:tcPr>
            <w:tcW w:w="0" w:type="auto"/>
          </w:tcPr>
          <w:p w14:paraId="51885132" w14:textId="77777777" w:rsidR="00B810AE" w:rsidRPr="00345115" w:rsidRDefault="00B810AE" w:rsidP="00F475A3">
            <w:pPr>
              <w:contextualSpacing/>
              <w:jc w:val="both"/>
              <w:rPr>
                <w:rFonts w:ascii="Arial" w:hAnsi="Arial" w:cs="Arial"/>
              </w:rPr>
            </w:pPr>
            <w:r w:rsidRPr="00345115">
              <w:rPr>
                <w:rFonts w:ascii="Arial" w:hAnsi="Arial" w:cs="Arial"/>
              </w:rPr>
              <w:t>Nenhuma variável exógena, efeitos fixos e efeito individual e tendência</w:t>
            </w:r>
          </w:p>
        </w:tc>
        <w:tc>
          <w:tcPr>
            <w:tcW w:w="0" w:type="auto"/>
          </w:tcPr>
          <w:p w14:paraId="759FC620" w14:textId="77777777" w:rsidR="00B810AE" w:rsidRPr="00345115" w:rsidRDefault="00B810AE" w:rsidP="00F475A3">
            <w:pPr>
              <w:contextualSpacing/>
              <w:jc w:val="both"/>
              <w:rPr>
                <w:rFonts w:ascii="Arial" w:hAnsi="Arial" w:cs="Arial"/>
              </w:rPr>
            </w:pPr>
            <w:r w:rsidRPr="00345115">
              <w:rPr>
                <w:rFonts w:ascii="Arial" w:hAnsi="Arial" w:cs="Arial"/>
              </w:rPr>
              <w:t>Nenhuma variável exógena, efeitos fixos e efeito individual e tendência</w:t>
            </w:r>
          </w:p>
        </w:tc>
      </w:tr>
      <w:tr w:rsidR="00B810AE" w:rsidRPr="00345115" w14:paraId="172D6CD4" w14:textId="77777777" w:rsidTr="00F475A3">
        <w:tc>
          <w:tcPr>
            <w:tcW w:w="0" w:type="auto"/>
          </w:tcPr>
          <w:p w14:paraId="1B972C19" w14:textId="77777777" w:rsidR="00B810AE" w:rsidRPr="00345115" w:rsidRDefault="00B810AE" w:rsidP="00F475A3">
            <w:pPr>
              <w:contextualSpacing/>
              <w:jc w:val="both"/>
              <w:rPr>
                <w:rFonts w:ascii="Arial" w:hAnsi="Arial" w:cs="Arial"/>
              </w:rPr>
            </w:pPr>
            <w:r w:rsidRPr="00345115">
              <w:rPr>
                <w:rFonts w:ascii="Arial" w:hAnsi="Arial" w:cs="Arial"/>
              </w:rPr>
              <w:t>Método de autocorrelação</w:t>
            </w:r>
          </w:p>
        </w:tc>
        <w:tc>
          <w:tcPr>
            <w:tcW w:w="0" w:type="auto"/>
          </w:tcPr>
          <w:p w14:paraId="11836F89" w14:textId="77777777" w:rsidR="00B810AE" w:rsidRPr="00345115" w:rsidRDefault="00B810AE" w:rsidP="00F475A3">
            <w:pPr>
              <w:contextualSpacing/>
              <w:jc w:val="both"/>
              <w:rPr>
                <w:rFonts w:ascii="Arial" w:hAnsi="Arial" w:cs="Arial"/>
              </w:rPr>
            </w:pPr>
            <w:r w:rsidRPr="00345115">
              <w:rPr>
                <w:rFonts w:ascii="Arial" w:hAnsi="Arial" w:cs="Arial"/>
              </w:rPr>
              <w:t>Defasagens</w:t>
            </w:r>
          </w:p>
        </w:tc>
        <w:tc>
          <w:tcPr>
            <w:tcW w:w="0" w:type="auto"/>
          </w:tcPr>
          <w:p w14:paraId="7A5A93F0" w14:textId="77777777" w:rsidR="00B810AE" w:rsidRPr="00345115" w:rsidRDefault="00B810AE" w:rsidP="00F475A3">
            <w:pPr>
              <w:contextualSpacing/>
              <w:jc w:val="both"/>
              <w:rPr>
                <w:rFonts w:ascii="Arial" w:hAnsi="Arial" w:cs="Arial"/>
              </w:rPr>
            </w:pPr>
            <w:r w:rsidRPr="00345115">
              <w:rPr>
                <w:rFonts w:ascii="Arial" w:hAnsi="Arial" w:cs="Arial"/>
              </w:rPr>
              <w:t>Defasagens</w:t>
            </w:r>
          </w:p>
        </w:tc>
        <w:tc>
          <w:tcPr>
            <w:tcW w:w="0" w:type="auto"/>
          </w:tcPr>
          <w:p w14:paraId="7FEA4EBA" w14:textId="77777777" w:rsidR="00B810AE" w:rsidRPr="00345115" w:rsidRDefault="00B810AE" w:rsidP="00F475A3">
            <w:pPr>
              <w:contextualSpacing/>
              <w:jc w:val="both"/>
              <w:rPr>
                <w:rFonts w:ascii="Arial" w:hAnsi="Arial" w:cs="Arial"/>
              </w:rPr>
            </w:pPr>
            <w:r w:rsidRPr="00345115">
              <w:rPr>
                <w:rFonts w:ascii="Arial" w:hAnsi="Arial" w:cs="Arial"/>
              </w:rPr>
              <w:t>Defasagens</w:t>
            </w:r>
          </w:p>
        </w:tc>
        <w:tc>
          <w:tcPr>
            <w:tcW w:w="0" w:type="auto"/>
          </w:tcPr>
          <w:p w14:paraId="5ADB2F2D" w14:textId="77777777" w:rsidR="00B810AE" w:rsidRPr="00345115" w:rsidRDefault="00B810AE" w:rsidP="00F475A3">
            <w:pPr>
              <w:contextualSpacing/>
              <w:jc w:val="both"/>
              <w:rPr>
                <w:rFonts w:ascii="Arial" w:hAnsi="Arial" w:cs="Arial"/>
              </w:rPr>
            </w:pPr>
            <w:r w:rsidRPr="00345115">
              <w:rPr>
                <w:rFonts w:ascii="Arial" w:hAnsi="Arial" w:cs="Arial"/>
              </w:rPr>
              <w:t>Defasagens</w:t>
            </w:r>
          </w:p>
        </w:tc>
        <w:tc>
          <w:tcPr>
            <w:tcW w:w="0" w:type="auto"/>
          </w:tcPr>
          <w:p w14:paraId="25ADCA0F" w14:textId="77777777" w:rsidR="00B810AE" w:rsidRPr="00345115" w:rsidRDefault="00B810AE" w:rsidP="00F475A3">
            <w:pPr>
              <w:contextualSpacing/>
              <w:jc w:val="both"/>
              <w:rPr>
                <w:rFonts w:ascii="Arial" w:hAnsi="Arial" w:cs="Arial"/>
              </w:rPr>
            </w:pPr>
            <w:r w:rsidRPr="00345115">
              <w:rPr>
                <w:rFonts w:ascii="Arial" w:hAnsi="Arial" w:cs="Arial"/>
              </w:rPr>
              <w:t>Kernel</w:t>
            </w:r>
          </w:p>
        </w:tc>
      </w:tr>
      <w:tr w:rsidR="00B810AE" w:rsidRPr="00345115" w14:paraId="0E72961A" w14:textId="77777777" w:rsidTr="00F475A3">
        <w:tc>
          <w:tcPr>
            <w:tcW w:w="0" w:type="auto"/>
          </w:tcPr>
          <w:p w14:paraId="44B4D084" w14:textId="77777777" w:rsidR="00B810AE" w:rsidRPr="00345115" w:rsidRDefault="00B810AE" w:rsidP="00F475A3">
            <w:pPr>
              <w:contextualSpacing/>
              <w:jc w:val="both"/>
              <w:rPr>
                <w:rFonts w:ascii="Arial" w:hAnsi="Arial" w:cs="Arial"/>
              </w:rPr>
            </w:pPr>
            <w:r w:rsidRPr="00345115">
              <w:rPr>
                <w:rFonts w:ascii="Arial" w:hAnsi="Arial" w:cs="Arial"/>
              </w:rPr>
              <w:t>Tipo de painel</w:t>
            </w:r>
          </w:p>
        </w:tc>
        <w:tc>
          <w:tcPr>
            <w:tcW w:w="0" w:type="auto"/>
          </w:tcPr>
          <w:p w14:paraId="67B02713" w14:textId="77777777" w:rsidR="00B810AE" w:rsidRPr="00345115" w:rsidRDefault="00B810AE" w:rsidP="00F475A3">
            <w:pPr>
              <w:contextualSpacing/>
              <w:jc w:val="both"/>
              <w:rPr>
                <w:rFonts w:ascii="Arial" w:hAnsi="Arial" w:cs="Arial"/>
              </w:rPr>
            </w:pPr>
            <w:r w:rsidRPr="00345115">
              <w:rPr>
                <w:rFonts w:ascii="Arial" w:hAnsi="Arial" w:cs="Arial"/>
              </w:rPr>
              <w:t>Balanceado</w:t>
            </w:r>
          </w:p>
        </w:tc>
        <w:tc>
          <w:tcPr>
            <w:tcW w:w="0" w:type="auto"/>
          </w:tcPr>
          <w:p w14:paraId="6BD7FCE9" w14:textId="77777777" w:rsidR="00B810AE" w:rsidRPr="00345115" w:rsidRDefault="00B810AE" w:rsidP="00F475A3">
            <w:pPr>
              <w:contextualSpacing/>
              <w:jc w:val="both"/>
              <w:rPr>
                <w:rFonts w:ascii="Arial" w:hAnsi="Arial" w:cs="Arial"/>
              </w:rPr>
            </w:pPr>
            <w:r w:rsidRPr="00345115">
              <w:rPr>
                <w:rFonts w:ascii="Arial" w:hAnsi="Arial" w:cs="Arial"/>
              </w:rPr>
              <w:t>Balanceado</w:t>
            </w:r>
          </w:p>
        </w:tc>
        <w:tc>
          <w:tcPr>
            <w:tcW w:w="0" w:type="auto"/>
          </w:tcPr>
          <w:p w14:paraId="580E5DE5" w14:textId="77777777" w:rsidR="00B810AE" w:rsidRPr="00345115" w:rsidRDefault="00B810AE" w:rsidP="00F475A3">
            <w:pPr>
              <w:contextualSpacing/>
              <w:jc w:val="both"/>
              <w:rPr>
                <w:rFonts w:ascii="Arial" w:hAnsi="Arial" w:cs="Arial"/>
              </w:rPr>
            </w:pPr>
            <w:r w:rsidRPr="00345115">
              <w:rPr>
                <w:rFonts w:ascii="Arial" w:hAnsi="Arial" w:cs="Arial"/>
              </w:rPr>
              <w:t>Balanceado</w:t>
            </w:r>
          </w:p>
        </w:tc>
        <w:tc>
          <w:tcPr>
            <w:tcW w:w="0" w:type="auto"/>
          </w:tcPr>
          <w:p w14:paraId="3A34FFB8" w14:textId="77777777" w:rsidR="00B810AE" w:rsidRPr="00345115" w:rsidRDefault="00B810AE" w:rsidP="00F475A3">
            <w:pPr>
              <w:contextualSpacing/>
              <w:jc w:val="both"/>
              <w:rPr>
                <w:rFonts w:ascii="Arial" w:hAnsi="Arial" w:cs="Arial"/>
              </w:rPr>
            </w:pPr>
            <w:r w:rsidRPr="00345115">
              <w:rPr>
                <w:rFonts w:ascii="Arial" w:hAnsi="Arial" w:cs="Arial"/>
              </w:rPr>
              <w:t>Balanceado e não balanceado</w:t>
            </w:r>
          </w:p>
        </w:tc>
        <w:tc>
          <w:tcPr>
            <w:tcW w:w="0" w:type="auto"/>
          </w:tcPr>
          <w:p w14:paraId="1E431468" w14:textId="77777777" w:rsidR="00B810AE" w:rsidRPr="00345115" w:rsidRDefault="00B810AE" w:rsidP="00F475A3">
            <w:pPr>
              <w:contextualSpacing/>
              <w:jc w:val="both"/>
              <w:rPr>
                <w:rFonts w:ascii="Arial" w:hAnsi="Arial" w:cs="Arial"/>
              </w:rPr>
            </w:pPr>
            <w:r w:rsidRPr="00345115">
              <w:rPr>
                <w:rFonts w:ascii="Arial" w:hAnsi="Arial" w:cs="Arial"/>
              </w:rPr>
              <w:t xml:space="preserve">Balanceado e não balanceado </w:t>
            </w:r>
          </w:p>
        </w:tc>
      </w:tr>
    </w:tbl>
    <w:p w14:paraId="5CF51F63" w14:textId="77777777" w:rsidR="00B810AE" w:rsidRPr="00345115" w:rsidRDefault="00B810AE" w:rsidP="00B810AE">
      <w:pPr>
        <w:spacing w:after="0" w:line="240" w:lineRule="auto"/>
        <w:contextualSpacing/>
        <w:jc w:val="both"/>
        <w:rPr>
          <w:rFonts w:ascii="Arial" w:hAnsi="Arial" w:cs="Arial"/>
          <w:sz w:val="18"/>
          <w:szCs w:val="18"/>
        </w:rPr>
      </w:pPr>
      <w:r w:rsidRPr="00345115">
        <w:rPr>
          <w:rFonts w:ascii="Arial" w:hAnsi="Arial" w:cs="Arial"/>
          <w:b/>
          <w:sz w:val="18"/>
          <w:szCs w:val="18"/>
        </w:rPr>
        <w:t>Fonte:</w:t>
      </w:r>
      <w:r w:rsidRPr="00345115">
        <w:rPr>
          <w:rFonts w:ascii="Arial" w:hAnsi="Arial" w:cs="Arial"/>
          <w:sz w:val="18"/>
          <w:szCs w:val="18"/>
        </w:rPr>
        <w:t xml:space="preserve"> </w:t>
      </w:r>
      <w:proofErr w:type="spellStart"/>
      <w:r w:rsidRPr="00345115">
        <w:rPr>
          <w:rFonts w:ascii="Arial" w:hAnsi="Arial" w:cs="Arial"/>
          <w:sz w:val="18"/>
          <w:szCs w:val="18"/>
        </w:rPr>
        <w:t>Baltagi</w:t>
      </w:r>
      <w:proofErr w:type="spellEnd"/>
      <w:r w:rsidRPr="00345115">
        <w:rPr>
          <w:rFonts w:ascii="Arial" w:hAnsi="Arial" w:cs="Arial"/>
          <w:sz w:val="18"/>
          <w:szCs w:val="18"/>
        </w:rPr>
        <w:t xml:space="preserve"> (2013, cap. 12). Elaboração dos autores.</w:t>
      </w:r>
    </w:p>
    <w:p w14:paraId="42C1FECB" w14:textId="77777777" w:rsidR="00B810AE" w:rsidRPr="00345115" w:rsidRDefault="00B810AE" w:rsidP="00B810AE">
      <w:pPr>
        <w:spacing w:after="0" w:line="240" w:lineRule="auto"/>
        <w:contextualSpacing/>
        <w:jc w:val="both"/>
        <w:rPr>
          <w:rFonts w:ascii="Arial" w:hAnsi="Arial" w:cs="Arial"/>
          <w:sz w:val="24"/>
          <w:szCs w:val="24"/>
        </w:rPr>
      </w:pPr>
      <w:bookmarkStart w:id="4" w:name="_Toc492029577"/>
    </w:p>
    <w:bookmarkEnd w:id="4"/>
    <w:p w14:paraId="46C505A9" w14:textId="1976B33B" w:rsidR="00A7303A" w:rsidRPr="00F20EE0" w:rsidRDefault="00A7303A" w:rsidP="00345115">
      <w:pPr>
        <w:pStyle w:val="PargrafodaLista"/>
        <w:numPr>
          <w:ilvl w:val="0"/>
          <w:numId w:val="1"/>
        </w:numPr>
        <w:spacing w:before="240" w:after="0" w:line="360" w:lineRule="auto"/>
        <w:jc w:val="both"/>
        <w:rPr>
          <w:rFonts w:ascii="Arial" w:hAnsi="Arial" w:cs="Arial"/>
          <w:b/>
          <w:bCs/>
          <w:sz w:val="24"/>
          <w:szCs w:val="24"/>
        </w:rPr>
      </w:pPr>
      <w:r w:rsidRPr="00F20EE0">
        <w:rPr>
          <w:rFonts w:ascii="Arial" w:hAnsi="Arial" w:cs="Arial"/>
          <w:b/>
          <w:bCs/>
          <w:sz w:val="24"/>
          <w:szCs w:val="24"/>
        </w:rPr>
        <w:t>DADOS</w:t>
      </w:r>
    </w:p>
    <w:p w14:paraId="79C69A5F" w14:textId="124727EC" w:rsidR="00A7303A" w:rsidRPr="00345115" w:rsidRDefault="00B810AE" w:rsidP="00345115">
      <w:pPr>
        <w:spacing w:before="240" w:line="360" w:lineRule="auto"/>
        <w:ind w:firstLine="708"/>
        <w:jc w:val="both"/>
        <w:rPr>
          <w:rFonts w:ascii="Arial" w:hAnsi="Arial" w:cs="Arial"/>
          <w:sz w:val="24"/>
          <w:szCs w:val="24"/>
        </w:rPr>
      </w:pPr>
      <w:r w:rsidRPr="00345115">
        <w:rPr>
          <w:rFonts w:ascii="Arial" w:hAnsi="Arial" w:cs="Arial"/>
          <w:sz w:val="24"/>
          <w:szCs w:val="24"/>
        </w:rPr>
        <w:t xml:space="preserve">Neste estudo, utiliza-se uma base de dados em painel balanceado em termos anuais, em que para todos os períodos de tempo t (anos), encontram-se disponíveis todas as informações relativas às i-ésima unidade de corte transversal (países), tal que o número de observações será </w:t>
      </w:r>
      <m:oMath>
        <m:r>
          <w:rPr>
            <w:rFonts w:ascii="Cambria Math" w:hAnsi="Cambria Math" w:cs="Arial"/>
            <w:sz w:val="24"/>
            <w:szCs w:val="24"/>
          </w:rPr>
          <m:t>t</m:t>
        </m:r>
        <m:r>
          <m:rPr>
            <m:sty m:val="p"/>
          </m:rPr>
          <w:rPr>
            <w:rFonts w:ascii="Cambria Math" w:hAnsi="Cambria Math" w:cs="Arial"/>
            <w:sz w:val="24"/>
            <w:szCs w:val="24"/>
          </w:rPr>
          <m:t>×</m:t>
        </m:r>
        <m:r>
          <w:rPr>
            <w:rFonts w:ascii="Cambria Math" w:hAnsi="Cambria Math" w:cs="Arial"/>
            <w:sz w:val="24"/>
            <w:szCs w:val="24"/>
          </w:rPr>
          <m:t>i</m:t>
        </m:r>
      </m:oMath>
      <w:r w:rsidRPr="00345115">
        <w:rPr>
          <w:rFonts w:ascii="Arial" w:hAnsi="Arial" w:cs="Arial"/>
          <w:sz w:val="24"/>
          <w:szCs w:val="24"/>
        </w:rPr>
        <w:t xml:space="preserve">. Os países, por sua vez, serão divididos em dois grupos: (i) nações industrializadas; (ii) mercados emergentes e países em desenvolvimento. Essa divisão é necessária </w:t>
      </w:r>
      <w:r w:rsidRPr="00345115">
        <w:rPr>
          <w:rFonts w:ascii="Arial" w:hAnsi="Arial" w:cs="Arial"/>
          <w:sz w:val="24"/>
          <w:szCs w:val="24"/>
        </w:rPr>
        <w:lastRenderedPageBreak/>
        <w:t>para se verificar os efeitos da regra de dívida em países com características distintas.</w:t>
      </w:r>
    </w:p>
    <w:p w14:paraId="12A8AB13" w14:textId="0EBD0910" w:rsidR="00F35D09" w:rsidRPr="00345115" w:rsidRDefault="00A7303A" w:rsidP="00A7303A">
      <w:pPr>
        <w:spacing w:line="360" w:lineRule="auto"/>
        <w:ind w:firstLine="708"/>
        <w:jc w:val="both"/>
        <w:rPr>
          <w:rFonts w:ascii="Arial" w:hAnsi="Arial" w:cs="Arial"/>
          <w:sz w:val="24"/>
          <w:szCs w:val="24"/>
        </w:rPr>
      </w:pPr>
      <w:r w:rsidRPr="00345115">
        <w:rPr>
          <w:rFonts w:ascii="Arial" w:hAnsi="Arial" w:cs="Arial"/>
          <w:sz w:val="24"/>
          <w:szCs w:val="24"/>
        </w:rPr>
        <w:t>Para isso, será analisada a trajetória do indicador Dívida Bruta do Governo Geral (DBGG) como proporção do PIB</w:t>
      </w:r>
      <w:r w:rsidR="00B810AE" w:rsidRPr="00345115">
        <w:rPr>
          <w:rFonts w:ascii="Arial" w:hAnsi="Arial" w:cs="Arial"/>
          <w:sz w:val="24"/>
          <w:szCs w:val="24"/>
        </w:rPr>
        <w:t xml:space="preserve"> em</w:t>
      </w:r>
      <w:r w:rsidRPr="00345115">
        <w:rPr>
          <w:rFonts w:ascii="Arial" w:hAnsi="Arial" w:cs="Arial"/>
          <w:sz w:val="24"/>
          <w:szCs w:val="24"/>
        </w:rPr>
        <w:t xml:space="preserve"> uma amostra de 13 países </w:t>
      </w:r>
      <w:r w:rsidR="00B810AE" w:rsidRPr="00345115">
        <w:rPr>
          <w:rFonts w:ascii="Arial" w:hAnsi="Arial" w:cs="Arial"/>
          <w:sz w:val="24"/>
          <w:szCs w:val="24"/>
        </w:rPr>
        <w:t xml:space="preserve">separados em dois grupos </w:t>
      </w:r>
      <w:r w:rsidRPr="00345115">
        <w:rPr>
          <w:rFonts w:ascii="Arial" w:hAnsi="Arial" w:cs="Arial"/>
          <w:sz w:val="24"/>
          <w:szCs w:val="24"/>
        </w:rPr>
        <w:t>(Economias Avançadas</w:t>
      </w:r>
      <w:r w:rsidR="00B810AE" w:rsidRPr="00345115">
        <w:rPr>
          <w:rFonts w:ascii="Arial" w:hAnsi="Arial" w:cs="Arial"/>
          <w:sz w:val="24"/>
          <w:szCs w:val="24"/>
        </w:rPr>
        <w:t>, assim como</w:t>
      </w:r>
      <w:r w:rsidRPr="00345115">
        <w:rPr>
          <w:rFonts w:ascii="Arial" w:hAnsi="Arial" w:cs="Arial"/>
          <w:sz w:val="24"/>
          <w:szCs w:val="24"/>
        </w:rPr>
        <w:t xml:space="preserve"> Mercados Emergentes e Economias em </w:t>
      </w:r>
      <w:r w:rsidR="00F35D09" w:rsidRPr="00345115">
        <w:rPr>
          <w:rFonts w:ascii="Arial" w:hAnsi="Arial" w:cs="Arial"/>
          <w:sz w:val="24"/>
          <w:szCs w:val="24"/>
        </w:rPr>
        <w:t>D</w:t>
      </w:r>
      <w:r w:rsidRPr="00345115">
        <w:rPr>
          <w:rFonts w:ascii="Arial" w:hAnsi="Arial" w:cs="Arial"/>
          <w:sz w:val="24"/>
          <w:szCs w:val="24"/>
        </w:rPr>
        <w:t>esenvolvimento)</w:t>
      </w:r>
      <w:r w:rsidRPr="00345115">
        <w:rPr>
          <w:rStyle w:val="Refdenotaderodap"/>
          <w:rFonts w:ascii="Arial" w:hAnsi="Arial" w:cs="Arial"/>
          <w:sz w:val="24"/>
          <w:szCs w:val="24"/>
        </w:rPr>
        <w:footnoteReference w:id="3"/>
      </w:r>
      <w:r w:rsidRPr="00345115">
        <w:rPr>
          <w:rFonts w:ascii="Arial" w:hAnsi="Arial" w:cs="Arial"/>
          <w:sz w:val="24"/>
          <w:szCs w:val="24"/>
        </w:rPr>
        <w:t xml:space="preserve">, no período de 2001 a 2015, bem como as regras fiscais vigentes em cada país. </w:t>
      </w:r>
    </w:p>
    <w:p w14:paraId="3F6C9F79" w14:textId="667ADE22" w:rsidR="00A7303A" w:rsidRPr="00345115" w:rsidRDefault="00A7303A" w:rsidP="00A7303A">
      <w:pPr>
        <w:spacing w:line="360" w:lineRule="auto"/>
        <w:ind w:firstLine="708"/>
        <w:jc w:val="both"/>
        <w:rPr>
          <w:rFonts w:ascii="Arial" w:hAnsi="Arial" w:cs="Arial"/>
          <w:sz w:val="24"/>
          <w:szCs w:val="24"/>
        </w:rPr>
      </w:pPr>
      <w:r w:rsidRPr="00345115">
        <w:rPr>
          <w:rFonts w:ascii="Arial" w:hAnsi="Arial" w:cs="Arial"/>
          <w:sz w:val="24"/>
          <w:szCs w:val="24"/>
        </w:rPr>
        <w:t>De acordo com a OCDE</w:t>
      </w:r>
      <w:r w:rsidRPr="00345115">
        <w:rPr>
          <w:rStyle w:val="Refdenotaderodap"/>
          <w:rFonts w:ascii="Arial" w:hAnsi="Arial" w:cs="Arial"/>
          <w:sz w:val="24"/>
          <w:szCs w:val="24"/>
        </w:rPr>
        <w:footnoteReference w:id="4"/>
      </w:r>
      <w:r w:rsidRPr="00345115">
        <w:rPr>
          <w:rFonts w:ascii="Arial" w:hAnsi="Arial" w:cs="Arial"/>
          <w:sz w:val="24"/>
          <w:szCs w:val="24"/>
        </w:rPr>
        <w:t>, o indicador DBGG/PIB é um indicador-chave para a sustentabilidade das finanças públicas de um país e as mudanças verificadas na trajetória da DBGG ao longo do tempo evidenciam o impacto dos déficits dos anos anteriores. Além disso, as regras fiscais consideradas nesse estudo são: regra de gasto, regra de receita, regra de saldo orçamental e regra de dívida.</w:t>
      </w:r>
    </w:p>
    <w:p w14:paraId="452EB175" w14:textId="7376F4B3" w:rsidR="00A7303A" w:rsidRPr="00345115" w:rsidRDefault="00A7303A" w:rsidP="00A7303A">
      <w:pPr>
        <w:spacing w:line="360" w:lineRule="auto"/>
        <w:ind w:firstLine="708"/>
        <w:jc w:val="both"/>
        <w:rPr>
          <w:rFonts w:ascii="Arial" w:hAnsi="Arial" w:cs="Arial"/>
          <w:sz w:val="24"/>
          <w:szCs w:val="24"/>
        </w:rPr>
      </w:pPr>
      <w:r w:rsidRPr="00345115">
        <w:rPr>
          <w:rFonts w:ascii="Arial" w:hAnsi="Arial" w:cs="Arial"/>
          <w:sz w:val="24"/>
          <w:szCs w:val="24"/>
        </w:rPr>
        <w:t xml:space="preserve">Outras explicações, no entanto, de acordo com a literatura, indicam que uma mudança na trajetória de um agregado fiscal pode se relacionar com um maior comprometimento com a responsabilidade na gestão fiscal, que leve a uma mudança na gestão das finanças públicas sem que haja necessariamente uma adoção de regra.  Logo, a responsabilidade fiscal por parte do gestor público se configura como mais eficaz do que a adoção de regras para se conseguir tal disciplina? A configuração dos acordos políticos que facilitem a mudança na trajetória de determinado agregado ou mesmo o </w:t>
      </w:r>
      <w:proofErr w:type="spellStart"/>
      <w:r w:rsidRPr="00345115">
        <w:rPr>
          <w:rFonts w:ascii="Arial" w:hAnsi="Arial" w:cs="Arial"/>
          <w:i/>
          <w:sz w:val="24"/>
          <w:szCs w:val="24"/>
        </w:rPr>
        <w:t>enforcement</w:t>
      </w:r>
      <w:proofErr w:type="spellEnd"/>
      <w:r w:rsidRPr="00345115">
        <w:rPr>
          <w:rFonts w:ascii="Arial" w:hAnsi="Arial" w:cs="Arial"/>
          <w:sz w:val="24"/>
          <w:szCs w:val="24"/>
        </w:rPr>
        <w:t xml:space="preserve"> da regra, se está disciplinada no arcabouço legal ou se é apenas um comprometimento do governante no início do mandato, fazem diferença na adoção das regras fiscais? Não se pretende responder a tais perguntas, mas é importante ter em mente que a adoção de regras, é usualmente, verificada em países com um comprometimento com a gestão de seus agregados fiscais.</w:t>
      </w:r>
    </w:p>
    <w:p w14:paraId="036F74CC" w14:textId="64CDBB6A" w:rsidR="00F35D09" w:rsidRDefault="00F35D09" w:rsidP="00A7303A">
      <w:pPr>
        <w:spacing w:line="360" w:lineRule="auto"/>
        <w:ind w:firstLine="708"/>
        <w:jc w:val="both"/>
        <w:rPr>
          <w:rFonts w:ascii="Arial" w:hAnsi="Arial" w:cs="Arial"/>
          <w:sz w:val="24"/>
          <w:szCs w:val="24"/>
        </w:rPr>
      </w:pPr>
      <w:r w:rsidRPr="00345115">
        <w:rPr>
          <w:rFonts w:ascii="Arial" w:hAnsi="Arial" w:cs="Arial"/>
          <w:sz w:val="24"/>
          <w:szCs w:val="24"/>
        </w:rPr>
        <w:t xml:space="preserve">No presente estudo, a análise de estacionariedade da variável DBGG/PIB se mostra pertinente pois, se determinado grupo de países apresentarem uma relação de estacionariedade de longo prazo nesta variável, esse resultado indica </w:t>
      </w:r>
      <w:r w:rsidRPr="00345115">
        <w:rPr>
          <w:rFonts w:ascii="Arial" w:hAnsi="Arial" w:cs="Arial"/>
          <w:sz w:val="24"/>
          <w:szCs w:val="24"/>
        </w:rPr>
        <w:lastRenderedPageBreak/>
        <w:t>o uso da regra de dívida contribuiu para o controle da trajetória desse indicador de endividamento.</w:t>
      </w:r>
    </w:p>
    <w:p w14:paraId="63FF1E70" w14:textId="570434A0" w:rsidR="00B406F3" w:rsidRPr="00B406F3" w:rsidRDefault="00B406F3" w:rsidP="00B406F3">
      <w:pPr>
        <w:pStyle w:val="PargrafodaLista"/>
        <w:numPr>
          <w:ilvl w:val="0"/>
          <w:numId w:val="1"/>
        </w:numPr>
        <w:spacing w:line="360" w:lineRule="auto"/>
        <w:jc w:val="both"/>
        <w:rPr>
          <w:rFonts w:ascii="Arial" w:hAnsi="Arial" w:cs="Arial"/>
          <w:b/>
          <w:bCs/>
          <w:sz w:val="24"/>
          <w:szCs w:val="24"/>
        </w:rPr>
      </w:pPr>
      <w:r w:rsidRPr="00B406F3">
        <w:rPr>
          <w:rFonts w:ascii="Arial" w:hAnsi="Arial" w:cs="Arial"/>
          <w:b/>
          <w:bCs/>
          <w:sz w:val="24"/>
          <w:szCs w:val="24"/>
        </w:rPr>
        <w:t>ANÁLISE DOS RESULTADOS</w:t>
      </w:r>
    </w:p>
    <w:p w14:paraId="729D1639" w14:textId="78953C08" w:rsidR="00F475A3" w:rsidRDefault="00F475A3" w:rsidP="00F475A3">
      <w:pPr>
        <w:spacing w:line="360" w:lineRule="auto"/>
        <w:ind w:firstLine="567"/>
        <w:jc w:val="both"/>
        <w:rPr>
          <w:rFonts w:ascii="Arial" w:hAnsi="Arial" w:cs="Arial"/>
          <w:sz w:val="24"/>
          <w:szCs w:val="24"/>
        </w:rPr>
      </w:pPr>
      <w:r>
        <w:rPr>
          <w:rFonts w:ascii="Arial" w:hAnsi="Arial" w:cs="Arial"/>
          <w:sz w:val="24"/>
          <w:szCs w:val="24"/>
        </w:rPr>
        <w:t>A Tabela 2 a seguir reporta os resultados dos testes de raiz unitária nas séries de dívidas dos dois grupos de países aqui analisados:</w:t>
      </w:r>
    </w:p>
    <w:p w14:paraId="48CD4699" w14:textId="2A129D9C" w:rsidR="00F475A3" w:rsidRDefault="002955BD" w:rsidP="002955BD">
      <w:pPr>
        <w:spacing w:line="240" w:lineRule="exact"/>
        <w:jc w:val="both"/>
        <w:rPr>
          <w:rFonts w:ascii="Arial" w:hAnsi="Arial" w:cs="Arial"/>
          <w:sz w:val="24"/>
          <w:szCs w:val="24"/>
        </w:rPr>
      </w:pPr>
      <w:r>
        <w:rPr>
          <w:rFonts w:ascii="Arial" w:hAnsi="Arial" w:cs="Arial"/>
          <w:sz w:val="24"/>
          <w:szCs w:val="24"/>
        </w:rPr>
        <w:t>Tabela 2 – Resultados dos testes de raiz unitária</w:t>
      </w:r>
    </w:p>
    <w:tbl>
      <w:tblPr>
        <w:tblStyle w:val="Tabelacomgrade"/>
        <w:tblW w:w="9098" w:type="dxa"/>
        <w:tblLook w:val="04A0" w:firstRow="1" w:lastRow="0" w:firstColumn="1" w:lastColumn="0" w:noHBand="0" w:noVBand="1"/>
      </w:tblPr>
      <w:tblGrid>
        <w:gridCol w:w="1067"/>
        <w:gridCol w:w="937"/>
        <w:gridCol w:w="1252"/>
        <w:gridCol w:w="1275"/>
        <w:gridCol w:w="1134"/>
        <w:gridCol w:w="1134"/>
        <w:gridCol w:w="1134"/>
        <w:gridCol w:w="1165"/>
      </w:tblGrid>
      <w:tr w:rsidR="00E42BF2" w14:paraId="29CC4F43" w14:textId="77777777" w:rsidTr="00503090">
        <w:tc>
          <w:tcPr>
            <w:tcW w:w="1067" w:type="dxa"/>
            <w:shd w:val="clear" w:color="auto" w:fill="D9D9D9" w:themeFill="background1" w:themeFillShade="D9"/>
          </w:tcPr>
          <w:p w14:paraId="335F510F" w14:textId="77777777" w:rsidR="00E42BF2" w:rsidRPr="001C1A50" w:rsidRDefault="00E42BF2" w:rsidP="00F475A3">
            <w:pPr>
              <w:jc w:val="center"/>
              <w:rPr>
                <w:b/>
              </w:rPr>
            </w:pPr>
            <w:r w:rsidRPr="001C1A50">
              <w:rPr>
                <w:b/>
              </w:rPr>
              <w:t>Variáveis</w:t>
            </w:r>
          </w:p>
        </w:tc>
        <w:tc>
          <w:tcPr>
            <w:tcW w:w="937" w:type="dxa"/>
            <w:shd w:val="clear" w:color="auto" w:fill="D9D9D9" w:themeFill="background1" w:themeFillShade="D9"/>
          </w:tcPr>
          <w:p w14:paraId="6AB57534" w14:textId="77777777" w:rsidR="00E42BF2" w:rsidRPr="001C1A50" w:rsidRDefault="00E42BF2" w:rsidP="00F475A3">
            <w:pPr>
              <w:jc w:val="center"/>
              <w:rPr>
                <w:b/>
              </w:rPr>
            </w:pPr>
            <w:r w:rsidRPr="001C1A50">
              <w:rPr>
                <w:b/>
              </w:rPr>
              <w:t>Modelo</w:t>
            </w:r>
          </w:p>
        </w:tc>
        <w:tc>
          <w:tcPr>
            <w:tcW w:w="1252" w:type="dxa"/>
            <w:shd w:val="clear" w:color="auto" w:fill="D9D9D9" w:themeFill="background1" w:themeFillShade="D9"/>
          </w:tcPr>
          <w:p w14:paraId="4E5E340A" w14:textId="77777777" w:rsidR="00E42BF2" w:rsidRPr="001C1A50" w:rsidRDefault="00E42BF2" w:rsidP="00F475A3">
            <w:pPr>
              <w:jc w:val="center"/>
              <w:rPr>
                <w:b/>
              </w:rPr>
            </w:pPr>
            <w:r w:rsidRPr="001C1A50">
              <w:rPr>
                <w:b/>
              </w:rPr>
              <w:t>LLC</w:t>
            </w:r>
          </w:p>
        </w:tc>
        <w:tc>
          <w:tcPr>
            <w:tcW w:w="1275" w:type="dxa"/>
            <w:shd w:val="clear" w:color="auto" w:fill="D9D9D9" w:themeFill="background1" w:themeFillShade="D9"/>
          </w:tcPr>
          <w:p w14:paraId="0EFF4FE8" w14:textId="77777777" w:rsidR="00E42BF2" w:rsidRPr="001C1A50" w:rsidRDefault="00E42BF2" w:rsidP="00F475A3">
            <w:pPr>
              <w:jc w:val="center"/>
              <w:rPr>
                <w:b/>
              </w:rPr>
            </w:pPr>
            <w:r w:rsidRPr="001C1A50">
              <w:rPr>
                <w:b/>
              </w:rPr>
              <w:t>IPS</w:t>
            </w:r>
          </w:p>
        </w:tc>
        <w:tc>
          <w:tcPr>
            <w:tcW w:w="1134" w:type="dxa"/>
            <w:shd w:val="clear" w:color="auto" w:fill="D9D9D9" w:themeFill="background1" w:themeFillShade="D9"/>
          </w:tcPr>
          <w:p w14:paraId="73A93CD0" w14:textId="77777777" w:rsidR="00E42BF2" w:rsidRPr="001C1A50" w:rsidRDefault="00E42BF2" w:rsidP="00F475A3">
            <w:pPr>
              <w:jc w:val="center"/>
              <w:rPr>
                <w:b/>
              </w:rPr>
            </w:pPr>
            <w:r w:rsidRPr="001C1A50">
              <w:rPr>
                <w:b/>
              </w:rPr>
              <w:t>ADF-Fisher</w:t>
            </w:r>
          </w:p>
        </w:tc>
        <w:tc>
          <w:tcPr>
            <w:tcW w:w="1134" w:type="dxa"/>
            <w:shd w:val="clear" w:color="auto" w:fill="D9D9D9" w:themeFill="background1" w:themeFillShade="D9"/>
          </w:tcPr>
          <w:p w14:paraId="3E8EE6FB" w14:textId="77777777" w:rsidR="00E42BF2" w:rsidRPr="001C1A50" w:rsidRDefault="00E42BF2" w:rsidP="00F475A3">
            <w:pPr>
              <w:jc w:val="center"/>
              <w:rPr>
                <w:b/>
              </w:rPr>
            </w:pPr>
            <w:r w:rsidRPr="001C1A50">
              <w:rPr>
                <w:b/>
              </w:rPr>
              <w:t>PP-Fisher</w:t>
            </w:r>
          </w:p>
        </w:tc>
        <w:tc>
          <w:tcPr>
            <w:tcW w:w="1134" w:type="dxa"/>
            <w:shd w:val="clear" w:color="auto" w:fill="D9D9D9" w:themeFill="background1" w:themeFillShade="D9"/>
          </w:tcPr>
          <w:p w14:paraId="0B4008EC" w14:textId="77777777" w:rsidR="00E42BF2" w:rsidRPr="001C1A50" w:rsidRDefault="00E42BF2" w:rsidP="00F475A3">
            <w:pPr>
              <w:jc w:val="center"/>
              <w:rPr>
                <w:b/>
              </w:rPr>
            </w:pPr>
            <w:proofErr w:type="spellStart"/>
            <w:r w:rsidRPr="001C1A50">
              <w:rPr>
                <w:b/>
              </w:rPr>
              <w:t>Beitrung</w:t>
            </w:r>
            <w:proofErr w:type="spellEnd"/>
          </w:p>
        </w:tc>
        <w:tc>
          <w:tcPr>
            <w:tcW w:w="1165" w:type="dxa"/>
            <w:shd w:val="clear" w:color="auto" w:fill="D9D9D9" w:themeFill="background1" w:themeFillShade="D9"/>
          </w:tcPr>
          <w:p w14:paraId="32A30221" w14:textId="77777777" w:rsidR="00E42BF2" w:rsidRPr="001C1A50" w:rsidRDefault="00E42BF2" w:rsidP="00F475A3">
            <w:pPr>
              <w:jc w:val="center"/>
              <w:rPr>
                <w:b/>
              </w:rPr>
            </w:pPr>
            <w:proofErr w:type="spellStart"/>
            <w:r w:rsidRPr="001C1A50">
              <w:rPr>
                <w:b/>
              </w:rPr>
              <w:t>Hadri</w:t>
            </w:r>
            <w:proofErr w:type="spellEnd"/>
          </w:p>
        </w:tc>
      </w:tr>
      <w:tr w:rsidR="00E42BF2" w14:paraId="1231E27D" w14:textId="77777777" w:rsidTr="00503090">
        <w:tc>
          <w:tcPr>
            <w:tcW w:w="9098" w:type="dxa"/>
            <w:gridSpan w:val="8"/>
            <w:shd w:val="clear" w:color="auto" w:fill="auto"/>
          </w:tcPr>
          <w:p w14:paraId="4F267A62" w14:textId="5BC0BE6A" w:rsidR="00E42BF2" w:rsidRPr="001C1A50" w:rsidRDefault="00E42BF2" w:rsidP="00F475A3">
            <w:pPr>
              <w:jc w:val="center"/>
              <w:rPr>
                <w:b/>
              </w:rPr>
            </w:pPr>
            <w:r>
              <w:rPr>
                <w:b/>
              </w:rPr>
              <w:t>Economias Avançadas</w:t>
            </w:r>
          </w:p>
        </w:tc>
      </w:tr>
      <w:tr w:rsidR="00E42BF2" w14:paraId="129FC402" w14:textId="77777777" w:rsidTr="00503090">
        <w:tc>
          <w:tcPr>
            <w:tcW w:w="1067" w:type="dxa"/>
          </w:tcPr>
          <w:p w14:paraId="1E0991C9" w14:textId="2FE092F2" w:rsidR="00E42BF2" w:rsidRPr="00271512" w:rsidRDefault="00452EE8" w:rsidP="00B336FC">
            <w:pPr>
              <w:contextualSpacing/>
              <w:jc w:val="center"/>
              <w:rPr>
                <w:b/>
              </w:rPr>
            </w:pPr>
            <m:oMathPara>
              <m:oMathParaPr>
                <m:jc m:val="left"/>
              </m:oMathParaPr>
              <m:oMath>
                <m:sSubSup>
                  <m:sSubSupPr>
                    <m:ctrlPr>
                      <w:rPr>
                        <w:rFonts w:ascii="Cambria Math" w:hAnsi="Cambria Math"/>
                        <w:sz w:val="24"/>
                        <w:szCs w:val="24"/>
                      </w:rPr>
                    </m:ctrlPr>
                  </m:sSubSupPr>
                  <m:e>
                    <m:r>
                      <w:rPr>
                        <w:rFonts w:ascii="Cambria Math" w:hAnsi="Cambria Math"/>
                        <w:sz w:val="24"/>
                        <w:szCs w:val="24"/>
                      </w:rPr>
                      <m:t>B</m:t>
                    </m:r>
                  </m:e>
                  <m:sub>
                    <m:r>
                      <w:rPr>
                        <w:rFonts w:ascii="Cambria Math" w:hAnsi="Cambria Math"/>
                        <w:sz w:val="24"/>
                        <w:szCs w:val="24"/>
                      </w:rPr>
                      <m:t>it</m:t>
                    </m:r>
                  </m:sub>
                  <m:sup>
                    <m:r>
                      <w:rPr>
                        <w:rFonts w:ascii="Cambria Math" w:hAnsi="Cambria Math"/>
                        <w:sz w:val="24"/>
                        <w:szCs w:val="24"/>
                      </w:rPr>
                      <m:t>AE</m:t>
                    </m:r>
                  </m:sup>
                </m:sSubSup>
              </m:oMath>
            </m:oMathPara>
          </w:p>
        </w:tc>
        <w:tc>
          <w:tcPr>
            <w:tcW w:w="937" w:type="dxa"/>
            <w:vAlign w:val="center"/>
          </w:tcPr>
          <w:p w14:paraId="702A9AB1" w14:textId="77777777" w:rsidR="00E42BF2" w:rsidRPr="00271512" w:rsidRDefault="00E42BF2" w:rsidP="00B336FC">
            <w:pPr>
              <w:contextualSpacing/>
              <w:jc w:val="center"/>
            </w:pPr>
            <w:r w:rsidRPr="00271512">
              <w:t>C</w:t>
            </w:r>
          </w:p>
        </w:tc>
        <w:tc>
          <w:tcPr>
            <w:tcW w:w="1252" w:type="dxa"/>
          </w:tcPr>
          <w:p w14:paraId="482A77D1" w14:textId="515E8F44" w:rsidR="00E42BF2" w:rsidRDefault="00E42BF2" w:rsidP="00B336FC">
            <w:r w:rsidRPr="00B336FC">
              <w:t>-1.</w:t>
            </w:r>
            <w:r>
              <w:t>8508</w:t>
            </w:r>
          </w:p>
          <w:p w14:paraId="2D7D6DDD" w14:textId="207BBAC3" w:rsidR="00E42BF2" w:rsidRDefault="00E42BF2" w:rsidP="00B336FC">
            <w:r>
              <w:t>(</w:t>
            </w:r>
            <w:proofErr w:type="gramStart"/>
            <w:r w:rsidRPr="00B336FC">
              <w:t>0.0</w:t>
            </w:r>
            <w:r>
              <w:t>332)</w:t>
            </w:r>
            <w:r w:rsidRPr="00F475A3">
              <w:rPr>
                <w:vertAlign w:val="superscript"/>
              </w:rPr>
              <w:t>(</w:t>
            </w:r>
            <w:proofErr w:type="gramEnd"/>
            <w:r w:rsidRPr="00F475A3">
              <w:rPr>
                <w:vertAlign w:val="superscript"/>
              </w:rPr>
              <w:t>b)</w:t>
            </w:r>
          </w:p>
        </w:tc>
        <w:tc>
          <w:tcPr>
            <w:tcW w:w="1275" w:type="dxa"/>
          </w:tcPr>
          <w:p w14:paraId="66A9B82F" w14:textId="26876429" w:rsidR="00E42BF2" w:rsidRDefault="00E42BF2" w:rsidP="00B336FC">
            <w:r w:rsidRPr="00F475A3">
              <w:t>0.68518</w:t>
            </w:r>
          </w:p>
          <w:p w14:paraId="3FEC90FA" w14:textId="72C819A3" w:rsidR="00E42BF2" w:rsidRDefault="00E42BF2" w:rsidP="00B336FC">
            <w:r>
              <w:t>(</w:t>
            </w:r>
            <w:r w:rsidRPr="00F475A3">
              <w:t>0.7534</w:t>
            </w:r>
            <w:r>
              <w:t>)</w:t>
            </w:r>
          </w:p>
        </w:tc>
        <w:tc>
          <w:tcPr>
            <w:tcW w:w="1134" w:type="dxa"/>
          </w:tcPr>
          <w:p w14:paraId="4F84F523" w14:textId="77777777" w:rsidR="00E42BF2" w:rsidRDefault="00E42BF2" w:rsidP="00B336FC">
            <w:r w:rsidRPr="00F475A3">
              <w:t>8.75660</w:t>
            </w:r>
          </w:p>
          <w:p w14:paraId="71828A8E" w14:textId="3F0647B4" w:rsidR="00E42BF2" w:rsidRDefault="00E42BF2" w:rsidP="00B336FC">
            <w:r>
              <w:t>(</w:t>
            </w:r>
            <w:r w:rsidRPr="00F475A3">
              <w:t>0.9231</w:t>
            </w:r>
            <w:r>
              <w:t>)</w:t>
            </w:r>
          </w:p>
        </w:tc>
        <w:tc>
          <w:tcPr>
            <w:tcW w:w="1134" w:type="dxa"/>
          </w:tcPr>
          <w:p w14:paraId="477A18E2" w14:textId="77777777" w:rsidR="00E42BF2" w:rsidRDefault="00E42BF2" w:rsidP="00B336FC">
            <w:r w:rsidRPr="00F475A3">
              <w:t>4.74148</w:t>
            </w:r>
          </w:p>
          <w:p w14:paraId="380A4B38" w14:textId="12EBB091" w:rsidR="00E42BF2" w:rsidRDefault="00E42BF2" w:rsidP="00B336FC">
            <w:r>
              <w:t>(</w:t>
            </w:r>
            <w:r w:rsidRPr="00F475A3">
              <w:t>0.9969</w:t>
            </w:r>
            <w:r>
              <w:t>)</w:t>
            </w:r>
          </w:p>
        </w:tc>
        <w:tc>
          <w:tcPr>
            <w:tcW w:w="1134" w:type="dxa"/>
          </w:tcPr>
          <w:p w14:paraId="7DF470E4" w14:textId="6DF612D3" w:rsidR="00E42BF2" w:rsidRDefault="00E42BF2" w:rsidP="00B336FC">
            <w:r>
              <w:t>-</w:t>
            </w:r>
          </w:p>
        </w:tc>
        <w:tc>
          <w:tcPr>
            <w:tcW w:w="1165" w:type="dxa"/>
          </w:tcPr>
          <w:p w14:paraId="65F28220" w14:textId="77777777" w:rsidR="00E42BF2" w:rsidRDefault="00E42BF2" w:rsidP="00B336FC">
            <w:r w:rsidRPr="00F475A3">
              <w:t>6.07566</w:t>
            </w:r>
          </w:p>
          <w:p w14:paraId="259BDAF5" w14:textId="45A77CFD" w:rsidR="00E42BF2" w:rsidRDefault="00E42BF2" w:rsidP="00B336FC">
            <w:r>
              <w:t>(</w:t>
            </w:r>
            <w:proofErr w:type="gramStart"/>
            <w:r w:rsidRPr="00F475A3">
              <w:t>0.0000</w:t>
            </w:r>
            <w:r>
              <w:t>)</w:t>
            </w:r>
            <w:r w:rsidRPr="00F475A3">
              <w:rPr>
                <w:vertAlign w:val="superscript"/>
              </w:rPr>
              <w:t>(</w:t>
            </w:r>
            <w:proofErr w:type="gramEnd"/>
            <w:r w:rsidRPr="00F475A3">
              <w:rPr>
                <w:vertAlign w:val="superscript"/>
              </w:rPr>
              <w:t>a)</w:t>
            </w:r>
          </w:p>
        </w:tc>
      </w:tr>
      <w:tr w:rsidR="00E42BF2" w14:paraId="692CFD1D" w14:textId="77777777" w:rsidTr="00503090">
        <w:tc>
          <w:tcPr>
            <w:tcW w:w="1067" w:type="dxa"/>
          </w:tcPr>
          <w:p w14:paraId="162F4656" w14:textId="55720DD4" w:rsidR="00E42BF2" w:rsidRPr="00271512" w:rsidRDefault="00452EE8" w:rsidP="00B336FC">
            <w:pPr>
              <w:contextualSpacing/>
              <w:jc w:val="center"/>
            </w:pPr>
            <m:oMathPara>
              <m:oMathParaPr>
                <m:jc m:val="left"/>
              </m:oMathParaPr>
              <m:oMath>
                <m:sSubSup>
                  <m:sSubSupPr>
                    <m:ctrlPr>
                      <w:rPr>
                        <w:rFonts w:ascii="Cambria Math" w:hAnsi="Cambria Math"/>
                        <w:sz w:val="24"/>
                        <w:szCs w:val="24"/>
                      </w:rPr>
                    </m:ctrlPr>
                  </m:sSubSupPr>
                  <m:e>
                    <m:r>
                      <w:rPr>
                        <w:rFonts w:ascii="Cambria Math" w:hAnsi="Cambria Math"/>
                        <w:sz w:val="24"/>
                        <w:szCs w:val="24"/>
                      </w:rPr>
                      <m:t>B</m:t>
                    </m:r>
                  </m:e>
                  <m:sub>
                    <m:r>
                      <w:rPr>
                        <w:rFonts w:ascii="Cambria Math" w:hAnsi="Cambria Math"/>
                        <w:sz w:val="24"/>
                        <w:szCs w:val="24"/>
                      </w:rPr>
                      <m:t>it</m:t>
                    </m:r>
                  </m:sub>
                  <m:sup>
                    <m:r>
                      <w:rPr>
                        <w:rFonts w:ascii="Cambria Math" w:hAnsi="Cambria Math"/>
                        <w:sz w:val="24"/>
                        <w:szCs w:val="24"/>
                      </w:rPr>
                      <m:t>AE</m:t>
                    </m:r>
                  </m:sup>
                </m:sSubSup>
              </m:oMath>
            </m:oMathPara>
          </w:p>
        </w:tc>
        <w:tc>
          <w:tcPr>
            <w:tcW w:w="937" w:type="dxa"/>
            <w:vAlign w:val="center"/>
          </w:tcPr>
          <w:p w14:paraId="2EAA2144" w14:textId="77777777" w:rsidR="00E42BF2" w:rsidRPr="00271512" w:rsidRDefault="00E42BF2" w:rsidP="00B336FC">
            <w:pPr>
              <w:contextualSpacing/>
              <w:jc w:val="center"/>
            </w:pPr>
            <w:proofErr w:type="gramStart"/>
            <w:r w:rsidRPr="00271512">
              <w:t>C,T</w:t>
            </w:r>
            <w:proofErr w:type="gramEnd"/>
          </w:p>
        </w:tc>
        <w:tc>
          <w:tcPr>
            <w:tcW w:w="1252" w:type="dxa"/>
          </w:tcPr>
          <w:p w14:paraId="160810FC" w14:textId="77777777" w:rsidR="00E42BF2" w:rsidRDefault="00E42BF2" w:rsidP="00B336FC">
            <w:r w:rsidRPr="00F475A3">
              <w:t>-1.04875</w:t>
            </w:r>
          </w:p>
          <w:p w14:paraId="4FCB073E" w14:textId="2F9B230F" w:rsidR="00E42BF2" w:rsidRDefault="00E42BF2" w:rsidP="00B336FC">
            <w:r>
              <w:t>(</w:t>
            </w:r>
            <w:r w:rsidRPr="00E42BF2">
              <w:t>0.1471</w:t>
            </w:r>
            <w:r>
              <w:t>)</w:t>
            </w:r>
          </w:p>
        </w:tc>
        <w:tc>
          <w:tcPr>
            <w:tcW w:w="1275" w:type="dxa"/>
          </w:tcPr>
          <w:p w14:paraId="437DF68A" w14:textId="77777777" w:rsidR="00E42BF2" w:rsidRDefault="00E42BF2" w:rsidP="00B336FC">
            <w:r w:rsidRPr="00E42BF2">
              <w:t>-0.43929</w:t>
            </w:r>
          </w:p>
          <w:p w14:paraId="3AE1B1B0" w14:textId="1C724FEE" w:rsidR="00E42BF2" w:rsidRDefault="00E42BF2" w:rsidP="00B336FC">
            <w:r>
              <w:t>(</w:t>
            </w:r>
            <w:r w:rsidRPr="00E42BF2">
              <w:t>0.3302</w:t>
            </w:r>
            <w:r>
              <w:t>)</w:t>
            </w:r>
          </w:p>
        </w:tc>
        <w:tc>
          <w:tcPr>
            <w:tcW w:w="1134" w:type="dxa"/>
          </w:tcPr>
          <w:p w14:paraId="5FC246F1" w14:textId="77777777" w:rsidR="00E42BF2" w:rsidRDefault="00E42BF2" w:rsidP="00B336FC">
            <w:r w:rsidRPr="00E42BF2">
              <w:t>15.7979</w:t>
            </w:r>
          </w:p>
          <w:p w14:paraId="7F6A7072" w14:textId="2B187A72" w:rsidR="00E42BF2" w:rsidRDefault="00E42BF2" w:rsidP="00B336FC">
            <w:r>
              <w:t>(</w:t>
            </w:r>
            <w:r w:rsidRPr="00E42BF2">
              <w:t>0.4672</w:t>
            </w:r>
            <w:r>
              <w:t>)</w:t>
            </w:r>
          </w:p>
        </w:tc>
        <w:tc>
          <w:tcPr>
            <w:tcW w:w="1134" w:type="dxa"/>
          </w:tcPr>
          <w:p w14:paraId="71F58B43" w14:textId="77777777" w:rsidR="00E42BF2" w:rsidRDefault="00E42BF2" w:rsidP="00B336FC">
            <w:r w:rsidRPr="00E42BF2">
              <w:t>7.26046</w:t>
            </w:r>
          </w:p>
          <w:p w14:paraId="3168B881" w14:textId="295D98FA" w:rsidR="00E42BF2" w:rsidRDefault="00E42BF2" w:rsidP="00B336FC">
            <w:r>
              <w:t>(</w:t>
            </w:r>
            <w:r w:rsidRPr="00E42BF2">
              <w:t>0.9679</w:t>
            </w:r>
            <w:r>
              <w:t>)</w:t>
            </w:r>
          </w:p>
        </w:tc>
        <w:tc>
          <w:tcPr>
            <w:tcW w:w="1134" w:type="dxa"/>
          </w:tcPr>
          <w:p w14:paraId="7A2BC6FA" w14:textId="77777777" w:rsidR="00E42BF2" w:rsidRDefault="00E42BF2" w:rsidP="00F475A3">
            <w:r w:rsidRPr="00F475A3">
              <w:t>0.56130</w:t>
            </w:r>
          </w:p>
          <w:p w14:paraId="197B06B4" w14:textId="7C7D4CBE" w:rsidR="00E42BF2" w:rsidRDefault="00E42BF2" w:rsidP="00F475A3">
            <w:r>
              <w:t>(</w:t>
            </w:r>
            <w:r w:rsidRPr="00F475A3">
              <w:t>0.7127</w:t>
            </w:r>
            <w:r>
              <w:t>)</w:t>
            </w:r>
          </w:p>
        </w:tc>
        <w:tc>
          <w:tcPr>
            <w:tcW w:w="1165" w:type="dxa"/>
          </w:tcPr>
          <w:p w14:paraId="3EE809E7" w14:textId="77777777" w:rsidR="00E42BF2" w:rsidRDefault="00E42BF2" w:rsidP="00B336FC">
            <w:r w:rsidRPr="00E42BF2">
              <w:t>3.82793</w:t>
            </w:r>
          </w:p>
          <w:p w14:paraId="1FBCF911" w14:textId="05023624" w:rsidR="00E42BF2" w:rsidRDefault="00E42BF2" w:rsidP="00B336FC">
            <w:r>
              <w:t>(</w:t>
            </w:r>
            <w:r w:rsidRPr="00E42BF2">
              <w:t>0.0001</w:t>
            </w:r>
            <w:r>
              <w:t>)</w:t>
            </w:r>
            <w:r w:rsidR="002955BD" w:rsidRPr="002955BD">
              <w:rPr>
                <w:vertAlign w:val="superscript"/>
              </w:rPr>
              <w:t xml:space="preserve"> (a)</w:t>
            </w:r>
          </w:p>
        </w:tc>
      </w:tr>
      <w:tr w:rsidR="00E42BF2" w14:paraId="4F1D9096" w14:textId="77777777" w:rsidTr="00503090">
        <w:tc>
          <w:tcPr>
            <w:tcW w:w="1067" w:type="dxa"/>
          </w:tcPr>
          <w:p w14:paraId="44B016CC" w14:textId="52966B9B" w:rsidR="00E42BF2" w:rsidRPr="009142C9" w:rsidRDefault="00452EE8" w:rsidP="00B336FC">
            <w:pPr>
              <w:contextualSpacing/>
              <w:jc w:val="center"/>
            </w:pPr>
            <m:oMathPara>
              <m:oMathParaPr>
                <m:jc m:val="left"/>
              </m:oMathParaPr>
              <m:oMath>
                <m:sSubSup>
                  <m:sSubSupPr>
                    <m:ctrlPr>
                      <w:rPr>
                        <w:rFonts w:ascii="Cambria Math" w:hAnsi="Cambria Math"/>
                        <w:sz w:val="24"/>
                        <w:szCs w:val="24"/>
                      </w:rPr>
                    </m:ctrlPr>
                  </m:sSubSupPr>
                  <m:e>
                    <m:r>
                      <w:rPr>
                        <w:rFonts w:ascii="Cambria Math" w:hAnsi="Cambria Math"/>
                        <w:sz w:val="24"/>
                        <w:szCs w:val="24"/>
                      </w:rPr>
                      <m:t>∆B</m:t>
                    </m:r>
                  </m:e>
                  <m:sub>
                    <m:r>
                      <w:rPr>
                        <w:rFonts w:ascii="Cambria Math" w:hAnsi="Cambria Math"/>
                        <w:sz w:val="24"/>
                        <w:szCs w:val="24"/>
                      </w:rPr>
                      <m:t>it</m:t>
                    </m:r>
                  </m:sub>
                  <m:sup>
                    <m:r>
                      <w:rPr>
                        <w:rFonts w:ascii="Cambria Math" w:hAnsi="Cambria Math"/>
                        <w:sz w:val="24"/>
                        <w:szCs w:val="24"/>
                      </w:rPr>
                      <m:t>AE</m:t>
                    </m:r>
                  </m:sup>
                </m:sSubSup>
              </m:oMath>
            </m:oMathPara>
          </w:p>
        </w:tc>
        <w:tc>
          <w:tcPr>
            <w:tcW w:w="937" w:type="dxa"/>
            <w:vAlign w:val="center"/>
          </w:tcPr>
          <w:p w14:paraId="32676C0C" w14:textId="77777777" w:rsidR="00E42BF2" w:rsidRPr="00271512" w:rsidRDefault="00E42BF2" w:rsidP="00B336FC">
            <w:pPr>
              <w:contextualSpacing/>
              <w:jc w:val="center"/>
            </w:pPr>
            <w:r w:rsidRPr="00271512">
              <w:t>C</w:t>
            </w:r>
          </w:p>
        </w:tc>
        <w:tc>
          <w:tcPr>
            <w:tcW w:w="1252" w:type="dxa"/>
          </w:tcPr>
          <w:p w14:paraId="0D64B7A0" w14:textId="77777777" w:rsidR="00E42BF2" w:rsidRDefault="00E42BF2" w:rsidP="00B336FC">
            <w:r w:rsidRPr="00E42BF2">
              <w:t>-3.06492</w:t>
            </w:r>
          </w:p>
          <w:p w14:paraId="44A8DD54" w14:textId="33A9E3DF" w:rsidR="00E42BF2" w:rsidRDefault="00E42BF2" w:rsidP="00B336FC">
            <w:r>
              <w:t>(</w:t>
            </w:r>
            <w:proofErr w:type="gramStart"/>
            <w:r w:rsidRPr="00E42BF2">
              <w:t>0.0011</w:t>
            </w:r>
            <w:r>
              <w:t>)</w:t>
            </w:r>
            <w:r w:rsidR="002955BD" w:rsidRPr="002955BD">
              <w:rPr>
                <w:vertAlign w:val="superscript"/>
              </w:rPr>
              <w:t>(</w:t>
            </w:r>
            <w:proofErr w:type="gramEnd"/>
            <w:r w:rsidR="002955BD" w:rsidRPr="002955BD">
              <w:rPr>
                <w:vertAlign w:val="superscript"/>
              </w:rPr>
              <w:t>a)</w:t>
            </w:r>
          </w:p>
        </w:tc>
        <w:tc>
          <w:tcPr>
            <w:tcW w:w="1275" w:type="dxa"/>
          </w:tcPr>
          <w:p w14:paraId="56A4F5AE" w14:textId="77777777" w:rsidR="00E42BF2" w:rsidRDefault="00E42BF2" w:rsidP="00B336FC">
            <w:r w:rsidRPr="00E42BF2">
              <w:t>-2.20023</w:t>
            </w:r>
          </w:p>
          <w:p w14:paraId="1D3FB89C" w14:textId="5E880ED2" w:rsidR="00E42BF2" w:rsidRDefault="00E42BF2" w:rsidP="00B336FC">
            <w:r>
              <w:t>(</w:t>
            </w:r>
            <w:r w:rsidRPr="00E42BF2">
              <w:t>0.0139</w:t>
            </w:r>
            <w:r>
              <w:t>)</w:t>
            </w:r>
            <w:r w:rsidR="002955BD" w:rsidRPr="002955BD">
              <w:rPr>
                <w:vertAlign w:val="superscript"/>
              </w:rPr>
              <w:t xml:space="preserve"> (b)</w:t>
            </w:r>
          </w:p>
        </w:tc>
        <w:tc>
          <w:tcPr>
            <w:tcW w:w="1134" w:type="dxa"/>
          </w:tcPr>
          <w:p w14:paraId="333FCD9E" w14:textId="77777777" w:rsidR="00E42BF2" w:rsidRDefault="00E42BF2" w:rsidP="00B336FC">
            <w:r w:rsidRPr="00E42BF2">
              <w:t>27.4130</w:t>
            </w:r>
          </w:p>
          <w:p w14:paraId="3099EB06" w14:textId="2DFEAEF4" w:rsidR="00E42BF2" w:rsidRDefault="00E42BF2" w:rsidP="00B336FC">
            <w:r>
              <w:t>(</w:t>
            </w:r>
            <w:r w:rsidRPr="00E42BF2">
              <w:t>0.0371</w:t>
            </w:r>
            <w:r>
              <w:t>)</w:t>
            </w:r>
            <w:r w:rsidR="002955BD" w:rsidRPr="002955BD">
              <w:rPr>
                <w:vertAlign w:val="superscript"/>
              </w:rPr>
              <w:t xml:space="preserve"> (b)</w:t>
            </w:r>
          </w:p>
        </w:tc>
        <w:tc>
          <w:tcPr>
            <w:tcW w:w="1134" w:type="dxa"/>
          </w:tcPr>
          <w:p w14:paraId="724121D3" w14:textId="77777777" w:rsidR="00E42BF2" w:rsidRDefault="00E42BF2" w:rsidP="00B336FC">
            <w:r w:rsidRPr="00E42BF2">
              <w:t>26.9790</w:t>
            </w:r>
          </w:p>
          <w:p w14:paraId="1BDA216B" w14:textId="424A9942" w:rsidR="00E42BF2" w:rsidRDefault="00E42BF2" w:rsidP="00B336FC">
            <w:r>
              <w:t>(</w:t>
            </w:r>
            <w:r w:rsidRPr="00E42BF2">
              <w:t>0.0417</w:t>
            </w:r>
            <w:r>
              <w:t>)</w:t>
            </w:r>
            <w:r w:rsidR="002955BD" w:rsidRPr="002955BD">
              <w:rPr>
                <w:vertAlign w:val="superscript"/>
              </w:rPr>
              <w:t xml:space="preserve"> (b)</w:t>
            </w:r>
          </w:p>
        </w:tc>
        <w:tc>
          <w:tcPr>
            <w:tcW w:w="1134" w:type="dxa"/>
          </w:tcPr>
          <w:p w14:paraId="1A40D05A" w14:textId="77777777" w:rsidR="00E42BF2" w:rsidRDefault="00E42BF2" w:rsidP="00B336FC"/>
        </w:tc>
        <w:tc>
          <w:tcPr>
            <w:tcW w:w="1165" w:type="dxa"/>
          </w:tcPr>
          <w:p w14:paraId="74901B53" w14:textId="77777777" w:rsidR="00E42BF2" w:rsidRDefault="00E42BF2" w:rsidP="00B336FC">
            <w:r w:rsidRPr="00E42BF2">
              <w:t>0.86899</w:t>
            </w:r>
          </w:p>
          <w:p w14:paraId="4385D54D" w14:textId="40BF20A6" w:rsidR="00E42BF2" w:rsidRDefault="00E42BF2" w:rsidP="00B336FC">
            <w:r>
              <w:t>(</w:t>
            </w:r>
            <w:r w:rsidRPr="00E42BF2">
              <w:t>0.1924</w:t>
            </w:r>
            <w:r>
              <w:t>)</w:t>
            </w:r>
          </w:p>
        </w:tc>
      </w:tr>
      <w:tr w:rsidR="00E42BF2" w14:paraId="5BF63562" w14:textId="77777777" w:rsidTr="00503090">
        <w:tc>
          <w:tcPr>
            <w:tcW w:w="1067" w:type="dxa"/>
          </w:tcPr>
          <w:p w14:paraId="3C40B5A4" w14:textId="6FAB0CD8" w:rsidR="00E42BF2" w:rsidRPr="00B371A8" w:rsidRDefault="00452EE8" w:rsidP="00B336FC">
            <w:pPr>
              <w:contextualSpacing/>
              <w:jc w:val="center"/>
            </w:pPr>
            <m:oMathPara>
              <m:oMathParaPr>
                <m:jc m:val="left"/>
              </m:oMathParaPr>
              <m:oMath>
                <m:sSubSup>
                  <m:sSubSupPr>
                    <m:ctrlPr>
                      <w:rPr>
                        <w:rFonts w:ascii="Cambria Math" w:hAnsi="Cambria Math"/>
                        <w:sz w:val="24"/>
                        <w:szCs w:val="24"/>
                      </w:rPr>
                    </m:ctrlPr>
                  </m:sSubSupPr>
                  <m:e>
                    <m:r>
                      <w:rPr>
                        <w:rFonts w:ascii="Cambria Math" w:hAnsi="Cambria Math"/>
                        <w:sz w:val="24"/>
                        <w:szCs w:val="24"/>
                      </w:rPr>
                      <m:t>∆B</m:t>
                    </m:r>
                  </m:e>
                  <m:sub>
                    <m:r>
                      <w:rPr>
                        <w:rFonts w:ascii="Cambria Math" w:hAnsi="Cambria Math"/>
                        <w:sz w:val="24"/>
                        <w:szCs w:val="24"/>
                      </w:rPr>
                      <m:t>it</m:t>
                    </m:r>
                  </m:sub>
                  <m:sup>
                    <m:r>
                      <w:rPr>
                        <w:rFonts w:ascii="Cambria Math" w:hAnsi="Cambria Math"/>
                        <w:sz w:val="24"/>
                        <w:szCs w:val="24"/>
                      </w:rPr>
                      <m:t>AE</m:t>
                    </m:r>
                  </m:sup>
                </m:sSubSup>
              </m:oMath>
            </m:oMathPara>
          </w:p>
        </w:tc>
        <w:tc>
          <w:tcPr>
            <w:tcW w:w="937" w:type="dxa"/>
            <w:vAlign w:val="center"/>
          </w:tcPr>
          <w:p w14:paraId="19853311" w14:textId="77777777" w:rsidR="00E42BF2" w:rsidRPr="00271512" w:rsidRDefault="00E42BF2" w:rsidP="00B336FC">
            <w:pPr>
              <w:contextualSpacing/>
              <w:jc w:val="center"/>
            </w:pPr>
            <w:proofErr w:type="gramStart"/>
            <w:r w:rsidRPr="00271512">
              <w:t>C,T</w:t>
            </w:r>
            <w:proofErr w:type="gramEnd"/>
          </w:p>
        </w:tc>
        <w:tc>
          <w:tcPr>
            <w:tcW w:w="1252" w:type="dxa"/>
          </w:tcPr>
          <w:p w14:paraId="377FFC49" w14:textId="77777777" w:rsidR="00E42BF2" w:rsidRDefault="00E42BF2" w:rsidP="00B336FC">
            <w:r w:rsidRPr="00E42BF2">
              <w:t>-2.32025</w:t>
            </w:r>
          </w:p>
          <w:p w14:paraId="2604C887" w14:textId="275CB7FA" w:rsidR="00E42BF2" w:rsidRDefault="00E42BF2" w:rsidP="00B336FC">
            <w:r>
              <w:t>(</w:t>
            </w:r>
            <w:proofErr w:type="gramStart"/>
            <w:r w:rsidRPr="00E42BF2">
              <w:t>0.0102</w:t>
            </w:r>
            <w:r>
              <w:t>)</w:t>
            </w:r>
            <w:r w:rsidR="002955BD" w:rsidRPr="002955BD">
              <w:rPr>
                <w:vertAlign w:val="superscript"/>
              </w:rPr>
              <w:t>(</w:t>
            </w:r>
            <w:proofErr w:type="gramEnd"/>
            <w:r w:rsidR="002955BD" w:rsidRPr="002955BD">
              <w:rPr>
                <w:vertAlign w:val="superscript"/>
              </w:rPr>
              <w:t>b)</w:t>
            </w:r>
          </w:p>
        </w:tc>
        <w:tc>
          <w:tcPr>
            <w:tcW w:w="1275" w:type="dxa"/>
          </w:tcPr>
          <w:p w14:paraId="7B4DD4DB" w14:textId="77777777" w:rsidR="00E42BF2" w:rsidRDefault="00E42BF2" w:rsidP="00B336FC">
            <w:r w:rsidRPr="00E42BF2">
              <w:t>-0.00502</w:t>
            </w:r>
          </w:p>
          <w:p w14:paraId="208DA31C" w14:textId="34449F51" w:rsidR="00E42BF2" w:rsidRDefault="00E42BF2" w:rsidP="00B336FC">
            <w:r>
              <w:t>(</w:t>
            </w:r>
            <w:r w:rsidRPr="00E42BF2">
              <w:t>0.4980</w:t>
            </w:r>
            <w:r>
              <w:t>)</w:t>
            </w:r>
          </w:p>
        </w:tc>
        <w:tc>
          <w:tcPr>
            <w:tcW w:w="1134" w:type="dxa"/>
          </w:tcPr>
          <w:p w14:paraId="7EDAADB8" w14:textId="77777777" w:rsidR="00E42BF2" w:rsidRDefault="00E42BF2" w:rsidP="00B336FC">
            <w:r w:rsidRPr="00E42BF2">
              <w:t>15.5408</w:t>
            </w:r>
          </w:p>
          <w:p w14:paraId="74B72842" w14:textId="324EA0D7" w:rsidR="00E42BF2" w:rsidRDefault="00E42BF2" w:rsidP="00B336FC">
            <w:r>
              <w:t>(</w:t>
            </w:r>
            <w:r w:rsidRPr="00E42BF2">
              <w:t>0.4854</w:t>
            </w:r>
            <w:r>
              <w:t>)</w:t>
            </w:r>
          </w:p>
        </w:tc>
        <w:tc>
          <w:tcPr>
            <w:tcW w:w="1134" w:type="dxa"/>
          </w:tcPr>
          <w:p w14:paraId="1382D463" w14:textId="77777777" w:rsidR="00E42BF2" w:rsidRDefault="00E42BF2" w:rsidP="00B336FC">
            <w:r w:rsidRPr="00E42BF2">
              <w:t>14.0859</w:t>
            </w:r>
          </w:p>
          <w:p w14:paraId="319069EF" w14:textId="72FE3988" w:rsidR="00E42BF2" w:rsidRDefault="00E42BF2" w:rsidP="00B336FC">
            <w:r>
              <w:t>(</w:t>
            </w:r>
            <w:r w:rsidRPr="00E42BF2">
              <w:t>0.5923</w:t>
            </w:r>
            <w:r>
              <w:t>)</w:t>
            </w:r>
          </w:p>
        </w:tc>
        <w:tc>
          <w:tcPr>
            <w:tcW w:w="1134" w:type="dxa"/>
          </w:tcPr>
          <w:p w14:paraId="3E76E989" w14:textId="77777777" w:rsidR="00E42BF2" w:rsidRDefault="00E42BF2" w:rsidP="00B336FC">
            <w:r w:rsidRPr="00E42BF2">
              <w:t>-2.05613</w:t>
            </w:r>
          </w:p>
          <w:p w14:paraId="0C3CB657" w14:textId="1A799CCA" w:rsidR="00E42BF2" w:rsidRDefault="00E42BF2" w:rsidP="00B336FC">
            <w:r>
              <w:t>(</w:t>
            </w:r>
            <w:r w:rsidRPr="00E42BF2">
              <w:t>0.0199</w:t>
            </w:r>
            <w:r>
              <w:t>)</w:t>
            </w:r>
            <w:r w:rsidR="002955BD" w:rsidRPr="002955BD">
              <w:rPr>
                <w:vertAlign w:val="superscript"/>
              </w:rPr>
              <w:t xml:space="preserve"> (b)</w:t>
            </w:r>
          </w:p>
        </w:tc>
        <w:tc>
          <w:tcPr>
            <w:tcW w:w="1165" w:type="dxa"/>
          </w:tcPr>
          <w:p w14:paraId="42D9BDA7" w14:textId="77777777" w:rsidR="00E42BF2" w:rsidRDefault="00E42BF2" w:rsidP="00B336FC">
            <w:r w:rsidRPr="00E42BF2">
              <w:t>4.02194</w:t>
            </w:r>
          </w:p>
          <w:p w14:paraId="102BEA25" w14:textId="618C1D50" w:rsidR="00E42BF2" w:rsidRDefault="00E42BF2" w:rsidP="00B336FC">
            <w:r>
              <w:t>(</w:t>
            </w:r>
            <w:r w:rsidRPr="00E42BF2">
              <w:t>0.0000</w:t>
            </w:r>
            <w:r>
              <w:t>)</w:t>
            </w:r>
            <w:r w:rsidR="002955BD" w:rsidRPr="002955BD">
              <w:rPr>
                <w:vertAlign w:val="superscript"/>
              </w:rPr>
              <w:t xml:space="preserve"> (a)</w:t>
            </w:r>
          </w:p>
        </w:tc>
      </w:tr>
      <w:tr w:rsidR="00E42BF2" w14:paraId="221ED905" w14:textId="77777777" w:rsidTr="00503090">
        <w:tc>
          <w:tcPr>
            <w:tcW w:w="9098" w:type="dxa"/>
            <w:gridSpan w:val="8"/>
          </w:tcPr>
          <w:p w14:paraId="672C1B43" w14:textId="46DAF81D" w:rsidR="00E42BF2" w:rsidRPr="00E42BF2" w:rsidRDefault="00E42BF2" w:rsidP="00E42BF2">
            <w:pPr>
              <w:jc w:val="center"/>
              <w:rPr>
                <w:b/>
                <w:bCs/>
              </w:rPr>
            </w:pPr>
            <w:r w:rsidRPr="00E42BF2">
              <w:rPr>
                <w:b/>
                <w:bCs/>
              </w:rPr>
              <w:t>Mercados Emergentes e Economias em Desenvolvimento</w:t>
            </w:r>
          </w:p>
        </w:tc>
      </w:tr>
      <w:tr w:rsidR="00E42BF2" w14:paraId="7F1EE5C0" w14:textId="77777777" w:rsidTr="00503090">
        <w:tc>
          <w:tcPr>
            <w:tcW w:w="1067" w:type="dxa"/>
          </w:tcPr>
          <w:p w14:paraId="24A453C4" w14:textId="54ED3E4F" w:rsidR="00E42BF2" w:rsidRPr="009142C9" w:rsidRDefault="00452EE8" w:rsidP="00B336FC">
            <w:pPr>
              <w:contextualSpacing/>
              <w:jc w:val="center"/>
            </w:pPr>
            <m:oMathPara>
              <m:oMath>
                <m:sSubSup>
                  <m:sSubSupPr>
                    <m:ctrlPr>
                      <w:rPr>
                        <w:rFonts w:ascii="Cambria Math" w:hAnsi="Cambria Math"/>
                        <w:sz w:val="24"/>
                        <w:szCs w:val="24"/>
                      </w:rPr>
                    </m:ctrlPr>
                  </m:sSubSupPr>
                  <m:e>
                    <m:r>
                      <w:rPr>
                        <w:rFonts w:ascii="Cambria Math" w:hAnsi="Cambria Math"/>
                        <w:sz w:val="24"/>
                        <w:szCs w:val="24"/>
                      </w:rPr>
                      <m:t>B</m:t>
                    </m:r>
                  </m:e>
                  <m:sub>
                    <m:r>
                      <w:rPr>
                        <w:rFonts w:ascii="Cambria Math" w:hAnsi="Cambria Math"/>
                        <w:sz w:val="24"/>
                        <w:szCs w:val="24"/>
                      </w:rPr>
                      <m:t>it</m:t>
                    </m:r>
                  </m:sub>
                  <m:sup>
                    <m:r>
                      <w:rPr>
                        <w:rFonts w:ascii="Cambria Math" w:hAnsi="Cambria Math"/>
                        <w:sz w:val="24"/>
                        <w:szCs w:val="24"/>
                      </w:rPr>
                      <m:t>EMDE</m:t>
                    </m:r>
                  </m:sup>
                </m:sSubSup>
              </m:oMath>
            </m:oMathPara>
          </w:p>
        </w:tc>
        <w:tc>
          <w:tcPr>
            <w:tcW w:w="937" w:type="dxa"/>
            <w:vAlign w:val="center"/>
          </w:tcPr>
          <w:p w14:paraId="4F2E51CE" w14:textId="35202E09" w:rsidR="00E42BF2" w:rsidRDefault="00E42BF2" w:rsidP="00B336FC">
            <w:pPr>
              <w:contextualSpacing/>
              <w:jc w:val="center"/>
            </w:pPr>
            <w:r w:rsidRPr="00271512">
              <w:t>C</w:t>
            </w:r>
          </w:p>
        </w:tc>
        <w:tc>
          <w:tcPr>
            <w:tcW w:w="1252" w:type="dxa"/>
          </w:tcPr>
          <w:p w14:paraId="18A40BE3" w14:textId="77777777" w:rsidR="00E42BF2" w:rsidRDefault="00E42BF2" w:rsidP="00B336FC">
            <w:r w:rsidRPr="00E42BF2">
              <w:t>-2.76921</w:t>
            </w:r>
          </w:p>
          <w:p w14:paraId="3F05303D" w14:textId="0D0E9DAD" w:rsidR="00E42BF2" w:rsidRDefault="00E42BF2" w:rsidP="00B336FC">
            <w:r>
              <w:t>(</w:t>
            </w:r>
            <w:r w:rsidRPr="00E42BF2">
              <w:t>0.0028</w:t>
            </w:r>
            <w:r>
              <w:t>)</w:t>
            </w:r>
            <w:r w:rsidR="002955BD" w:rsidRPr="002955BD">
              <w:rPr>
                <w:vertAlign w:val="superscript"/>
              </w:rPr>
              <w:t xml:space="preserve"> (a)</w:t>
            </w:r>
          </w:p>
        </w:tc>
        <w:tc>
          <w:tcPr>
            <w:tcW w:w="1275" w:type="dxa"/>
          </w:tcPr>
          <w:p w14:paraId="3D323EAD" w14:textId="77777777" w:rsidR="00E42BF2" w:rsidRDefault="00E42BF2" w:rsidP="00B336FC">
            <w:r w:rsidRPr="00E42BF2">
              <w:t>-0.87768</w:t>
            </w:r>
          </w:p>
          <w:p w14:paraId="45187D49" w14:textId="781CC714" w:rsidR="00E42BF2" w:rsidRDefault="00E42BF2" w:rsidP="00B336FC">
            <w:r>
              <w:t>(</w:t>
            </w:r>
            <w:r w:rsidRPr="00E42BF2">
              <w:t>0.1901</w:t>
            </w:r>
            <w:r>
              <w:t>)</w:t>
            </w:r>
          </w:p>
        </w:tc>
        <w:tc>
          <w:tcPr>
            <w:tcW w:w="1134" w:type="dxa"/>
          </w:tcPr>
          <w:p w14:paraId="59B47DAB" w14:textId="77777777" w:rsidR="00E42BF2" w:rsidRDefault="00E42BF2" w:rsidP="00B336FC">
            <w:r w:rsidRPr="00E42BF2">
              <w:t>27.0530</w:t>
            </w:r>
          </w:p>
          <w:p w14:paraId="578B2D4A" w14:textId="69D9478D" w:rsidR="00E42BF2" w:rsidRDefault="00E42BF2" w:rsidP="00B336FC">
            <w:r>
              <w:t>(</w:t>
            </w:r>
            <w:r w:rsidRPr="00E42BF2">
              <w:t>0.0190</w:t>
            </w:r>
            <w:r>
              <w:t>)</w:t>
            </w:r>
            <w:r w:rsidR="002955BD" w:rsidRPr="002955BD">
              <w:rPr>
                <w:vertAlign w:val="superscript"/>
              </w:rPr>
              <w:t xml:space="preserve"> (b)</w:t>
            </w:r>
          </w:p>
        </w:tc>
        <w:tc>
          <w:tcPr>
            <w:tcW w:w="1134" w:type="dxa"/>
          </w:tcPr>
          <w:p w14:paraId="02165DB8" w14:textId="77777777" w:rsidR="00E42BF2" w:rsidRDefault="00E42BF2" w:rsidP="00B336FC">
            <w:r w:rsidRPr="00E42BF2">
              <w:t>19.0519</w:t>
            </w:r>
          </w:p>
          <w:p w14:paraId="11554C93" w14:textId="2301DFE0" w:rsidR="00E42BF2" w:rsidRDefault="00E42BF2" w:rsidP="00B336FC">
            <w:r>
              <w:t>(</w:t>
            </w:r>
            <w:r w:rsidRPr="00E42BF2">
              <w:t>0.1630</w:t>
            </w:r>
            <w:r>
              <w:t>)</w:t>
            </w:r>
          </w:p>
        </w:tc>
        <w:tc>
          <w:tcPr>
            <w:tcW w:w="1134" w:type="dxa"/>
          </w:tcPr>
          <w:p w14:paraId="10674AF8" w14:textId="77777777" w:rsidR="00E42BF2" w:rsidRDefault="00E42BF2" w:rsidP="00B336FC"/>
        </w:tc>
        <w:tc>
          <w:tcPr>
            <w:tcW w:w="1165" w:type="dxa"/>
          </w:tcPr>
          <w:p w14:paraId="0F27280B" w14:textId="77777777" w:rsidR="00E42BF2" w:rsidRDefault="00E42BF2" w:rsidP="00B336FC">
            <w:r w:rsidRPr="00E42BF2">
              <w:t>4.27510</w:t>
            </w:r>
          </w:p>
          <w:p w14:paraId="65B3BBF9" w14:textId="4FDD81A6" w:rsidR="00E42BF2" w:rsidRDefault="00E42BF2" w:rsidP="00B336FC">
            <w:r>
              <w:t>(</w:t>
            </w:r>
            <w:r w:rsidRPr="00E42BF2">
              <w:t>0.0000</w:t>
            </w:r>
            <w:r>
              <w:t>)</w:t>
            </w:r>
            <w:r w:rsidR="002955BD" w:rsidRPr="002955BD">
              <w:rPr>
                <w:vertAlign w:val="superscript"/>
              </w:rPr>
              <w:t xml:space="preserve"> (a)</w:t>
            </w:r>
          </w:p>
        </w:tc>
      </w:tr>
      <w:tr w:rsidR="00E42BF2" w14:paraId="2E2D4C7C" w14:textId="77777777" w:rsidTr="00503090">
        <w:tc>
          <w:tcPr>
            <w:tcW w:w="1067" w:type="dxa"/>
          </w:tcPr>
          <w:p w14:paraId="280AD5F1" w14:textId="44B08BAB" w:rsidR="00E42BF2" w:rsidRPr="009142C9" w:rsidRDefault="00452EE8" w:rsidP="00B336FC">
            <w:pPr>
              <w:contextualSpacing/>
              <w:jc w:val="center"/>
            </w:pPr>
            <m:oMathPara>
              <m:oMath>
                <m:sSubSup>
                  <m:sSubSupPr>
                    <m:ctrlPr>
                      <w:rPr>
                        <w:rFonts w:ascii="Cambria Math" w:hAnsi="Cambria Math"/>
                        <w:sz w:val="24"/>
                        <w:szCs w:val="24"/>
                      </w:rPr>
                    </m:ctrlPr>
                  </m:sSubSupPr>
                  <m:e>
                    <m:r>
                      <w:rPr>
                        <w:rFonts w:ascii="Cambria Math" w:hAnsi="Cambria Math"/>
                        <w:sz w:val="24"/>
                        <w:szCs w:val="24"/>
                      </w:rPr>
                      <m:t>B</m:t>
                    </m:r>
                  </m:e>
                  <m:sub>
                    <m:r>
                      <w:rPr>
                        <w:rFonts w:ascii="Cambria Math" w:hAnsi="Cambria Math"/>
                        <w:sz w:val="24"/>
                        <w:szCs w:val="24"/>
                      </w:rPr>
                      <m:t>it</m:t>
                    </m:r>
                  </m:sub>
                  <m:sup>
                    <m:r>
                      <w:rPr>
                        <w:rFonts w:ascii="Cambria Math" w:hAnsi="Cambria Math"/>
                        <w:sz w:val="24"/>
                        <w:szCs w:val="24"/>
                      </w:rPr>
                      <m:t>EMDE</m:t>
                    </m:r>
                  </m:sup>
                </m:sSubSup>
              </m:oMath>
            </m:oMathPara>
          </w:p>
        </w:tc>
        <w:tc>
          <w:tcPr>
            <w:tcW w:w="937" w:type="dxa"/>
            <w:vAlign w:val="center"/>
          </w:tcPr>
          <w:p w14:paraId="42BE5970" w14:textId="2E92CD63" w:rsidR="00E42BF2" w:rsidRDefault="00E42BF2" w:rsidP="00B336FC">
            <w:pPr>
              <w:contextualSpacing/>
              <w:jc w:val="center"/>
            </w:pPr>
            <w:proofErr w:type="gramStart"/>
            <w:r w:rsidRPr="00271512">
              <w:t>C,T</w:t>
            </w:r>
            <w:proofErr w:type="gramEnd"/>
          </w:p>
        </w:tc>
        <w:tc>
          <w:tcPr>
            <w:tcW w:w="1252" w:type="dxa"/>
          </w:tcPr>
          <w:p w14:paraId="0A3AAAE8" w14:textId="77777777" w:rsidR="00E42BF2" w:rsidRDefault="00E42BF2" w:rsidP="00B336FC">
            <w:r w:rsidRPr="00E42BF2">
              <w:t>-2.71902</w:t>
            </w:r>
          </w:p>
          <w:p w14:paraId="1B7A0431" w14:textId="0749E627" w:rsidR="00E42BF2" w:rsidRDefault="00E42BF2" w:rsidP="00B336FC">
            <w:r>
              <w:t>(</w:t>
            </w:r>
            <w:r w:rsidRPr="00E42BF2">
              <w:t>0.0033</w:t>
            </w:r>
            <w:r>
              <w:t>)</w:t>
            </w:r>
            <w:r w:rsidR="002955BD" w:rsidRPr="002955BD">
              <w:rPr>
                <w:vertAlign w:val="superscript"/>
              </w:rPr>
              <w:t xml:space="preserve"> (a)</w:t>
            </w:r>
          </w:p>
        </w:tc>
        <w:tc>
          <w:tcPr>
            <w:tcW w:w="1275" w:type="dxa"/>
          </w:tcPr>
          <w:p w14:paraId="524DA673" w14:textId="77777777" w:rsidR="00E42BF2" w:rsidRDefault="002955BD" w:rsidP="00B336FC">
            <w:r w:rsidRPr="002955BD">
              <w:t>1.60357</w:t>
            </w:r>
          </w:p>
          <w:p w14:paraId="32FF91DC" w14:textId="7BD3CCED" w:rsidR="002955BD" w:rsidRDefault="002955BD" w:rsidP="00B336FC">
            <w:r>
              <w:t>(</w:t>
            </w:r>
            <w:r w:rsidRPr="002955BD">
              <w:t>0.9456</w:t>
            </w:r>
            <w:r>
              <w:t>)</w:t>
            </w:r>
          </w:p>
        </w:tc>
        <w:tc>
          <w:tcPr>
            <w:tcW w:w="1134" w:type="dxa"/>
          </w:tcPr>
          <w:p w14:paraId="5E15968D" w14:textId="77777777" w:rsidR="00E42BF2" w:rsidRDefault="002955BD" w:rsidP="00B336FC">
            <w:r w:rsidRPr="002955BD">
              <w:t>12.3149</w:t>
            </w:r>
          </w:p>
          <w:p w14:paraId="118B7865" w14:textId="456CF52F" w:rsidR="002955BD" w:rsidRDefault="002955BD" w:rsidP="00B336FC">
            <w:r>
              <w:t>(</w:t>
            </w:r>
            <w:r w:rsidRPr="002955BD">
              <w:t>0.5810</w:t>
            </w:r>
            <w:r>
              <w:t>)</w:t>
            </w:r>
          </w:p>
        </w:tc>
        <w:tc>
          <w:tcPr>
            <w:tcW w:w="1134" w:type="dxa"/>
          </w:tcPr>
          <w:p w14:paraId="0E79809E" w14:textId="77777777" w:rsidR="00E42BF2" w:rsidRDefault="002955BD" w:rsidP="00B336FC">
            <w:r w:rsidRPr="002955BD">
              <w:t>7.49824</w:t>
            </w:r>
          </w:p>
          <w:p w14:paraId="2E967B81" w14:textId="38C3E5F7" w:rsidR="002955BD" w:rsidRDefault="002955BD" w:rsidP="00B336FC">
            <w:r>
              <w:t>(</w:t>
            </w:r>
            <w:r w:rsidRPr="002955BD">
              <w:t>0.9138</w:t>
            </w:r>
            <w:r>
              <w:t>)</w:t>
            </w:r>
          </w:p>
        </w:tc>
        <w:tc>
          <w:tcPr>
            <w:tcW w:w="1134" w:type="dxa"/>
          </w:tcPr>
          <w:p w14:paraId="5B07E2FF" w14:textId="77777777" w:rsidR="00E42BF2" w:rsidRDefault="002955BD" w:rsidP="00B336FC">
            <w:r w:rsidRPr="002955BD">
              <w:t>0.73075</w:t>
            </w:r>
          </w:p>
          <w:p w14:paraId="5E0CE245" w14:textId="3F9932A9" w:rsidR="002955BD" w:rsidRDefault="002955BD" w:rsidP="00B336FC">
            <w:r>
              <w:t>(</w:t>
            </w:r>
            <w:r w:rsidRPr="002955BD">
              <w:t>0.7675</w:t>
            </w:r>
            <w:r>
              <w:t>)</w:t>
            </w:r>
          </w:p>
        </w:tc>
        <w:tc>
          <w:tcPr>
            <w:tcW w:w="1165" w:type="dxa"/>
          </w:tcPr>
          <w:p w14:paraId="4698D264" w14:textId="77777777" w:rsidR="00E42BF2" w:rsidRDefault="002955BD" w:rsidP="00B336FC">
            <w:r w:rsidRPr="002955BD">
              <w:t>6.48490</w:t>
            </w:r>
          </w:p>
          <w:p w14:paraId="2F516C2D" w14:textId="544CA208" w:rsidR="002955BD" w:rsidRDefault="002955BD" w:rsidP="00B336FC">
            <w:r>
              <w:t>(</w:t>
            </w:r>
            <w:r w:rsidRPr="002955BD">
              <w:t>0.0000</w:t>
            </w:r>
            <w:r>
              <w:t>)</w:t>
            </w:r>
            <w:r w:rsidRPr="002955BD">
              <w:rPr>
                <w:vertAlign w:val="superscript"/>
              </w:rPr>
              <w:t xml:space="preserve"> (a)</w:t>
            </w:r>
          </w:p>
        </w:tc>
      </w:tr>
      <w:tr w:rsidR="00E42BF2" w14:paraId="48022D36" w14:textId="77777777" w:rsidTr="00503090">
        <w:tc>
          <w:tcPr>
            <w:tcW w:w="1067" w:type="dxa"/>
          </w:tcPr>
          <w:p w14:paraId="0E536675" w14:textId="2F29B004" w:rsidR="00E42BF2" w:rsidRPr="009142C9" w:rsidRDefault="00452EE8" w:rsidP="00B336FC">
            <w:pPr>
              <w:contextualSpacing/>
              <w:jc w:val="center"/>
            </w:pPr>
            <m:oMathPara>
              <m:oMath>
                <m:sSubSup>
                  <m:sSubSupPr>
                    <m:ctrlPr>
                      <w:rPr>
                        <w:rFonts w:ascii="Cambria Math" w:hAnsi="Cambria Math"/>
                        <w:sz w:val="24"/>
                        <w:szCs w:val="24"/>
                      </w:rPr>
                    </m:ctrlPr>
                  </m:sSubSupPr>
                  <m:e>
                    <m:r>
                      <w:rPr>
                        <w:rFonts w:ascii="Cambria Math" w:hAnsi="Cambria Math"/>
                        <w:sz w:val="24"/>
                        <w:szCs w:val="24"/>
                      </w:rPr>
                      <m:t>∆B</m:t>
                    </m:r>
                  </m:e>
                  <m:sub>
                    <m:r>
                      <w:rPr>
                        <w:rFonts w:ascii="Cambria Math" w:hAnsi="Cambria Math"/>
                        <w:sz w:val="24"/>
                        <w:szCs w:val="24"/>
                      </w:rPr>
                      <m:t>it</m:t>
                    </m:r>
                  </m:sub>
                  <m:sup>
                    <m:r>
                      <w:rPr>
                        <w:rFonts w:ascii="Cambria Math" w:hAnsi="Cambria Math"/>
                        <w:sz w:val="24"/>
                        <w:szCs w:val="24"/>
                      </w:rPr>
                      <m:t>EMDE</m:t>
                    </m:r>
                  </m:sup>
                </m:sSubSup>
              </m:oMath>
            </m:oMathPara>
          </w:p>
        </w:tc>
        <w:tc>
          <w:tcPr>
            <w:tcW w:w="937" w:type="dxa"/>
            <w:vAlign w:val="center"/>
          </w:tcPr>
          <w:p w14:paraId="308E4B41" w14:textId="758E1B7B" w:rsidR="00E42BF2" w:rsidRDefault="00E42BF2" w:rsidP="00B336FC">
            <w:pPr>
              <w:contextualSpacing/>
              <w:jc w:val="center"/>
            </w:pPr>
            <w:r w:rsidRPr="00271512">
              <w:t>C</w:t>
            </w:r>
          </w:p>
        </w:tc>
        <w:tc>
          <w:tcPr>
            <w:tcW w:w="1252" w:type="dxa"/>
          </w:tcPr>
          <w:p w14:paraId="25CAE2B3" w14:textId="77777777" w:rsidR="00E42BF2" w:rsidRDefault="002955BD" w:rsidP="00B336FC">
            <w:r w:rsidRPr="002955BD">
              <w:t>-3.32000</w:t>
            </w:r>
          </w:p>
          <w:p w14:paraId="5DE9D1A8" w14:textId="11CAF277" w:rsidR="002955BD" w:rsidRDefault="002955BD" w:rsidP="00B336FC">
            <w:r>
              <w:t>(</w:t>
            </w:r>
            <w:r w:rsidRPr="002955BD">
              <w:t>0.0005</w:t>
            </w:r>
            <w:r>
              <w:t>)</w:t>
            </w:r>
            <w:r w:rsidRPr="002955BD">
              <w:rPr>
                <w:vertAlign w:val="superscript"/>
              </w:rPr>
              <w:t xml:space="preserve"> (a)</w:t>
            </w:r>
          </w:p>
        </w:tc>
        <w:tc>
          <w:tcPr>
            <w:tcW w:w="1275" w:type="dxa"/>
          </w:tcPr>
          <w:p w14:paraId="2FDD514F" w14:textId="77777777" w:rsidR="00E42BF2" w:rsidRDefault="002955BD" w:rsidP="00B336FC">
            <w:r w:rsidRPr="002955BD">
              <w:t>-3.65250</w:t>
            </w:r>
          </w:p>
          <w:p w14:paraId="6E1CFA16" w14:textId="1331CDAC" w:rsidR="002955BD" w:rsidRDefault="002955BD" w:rsidP="00B336FC">
            <w:r>
              <w:t>(</w:t>
            </w:r>
            <w:r w:rsidRPr="002955BD">
              <w:t>0.0001</w:t>
            </w:r>
            <w:r>
              <w:t>)</w:t>
            </w:r>
            <w:r w:rsidRPr="002955BD">
              <w:rPr>
                <w:vertAlign w:val="superscript"/>
              </w:rPr>
              <w:t xml:space="preserve"> (a)</w:t>
            </w:r>
          </w:p>
        </w:tc>
        <w:tc>
          <w:tcPr>
            <w:tcW w:w="1134" w:type="dxa"/>
          </w:tcPr>
          <w:p w14:paraId="69D133F7" w14:textId="77777777" w:rsidR="00E42BF2" w:rsidRDefault="002955BD" w:rsidP="00B336FC">
            <w:r w:rsidRPr="002955BD">
              <w:t>38.6121</w:t>
            </w:r>
          </w:p>
          <w:p w14:paraId="68B318F3" w14:textId="619309CD" w:rsidR="002955BD" w:rsidRDefault="002955BD" w:rsidP="00B336FC">
            <w:r>
              <w:t>(</w:t>
            </w:r>
            <w:r w:rsidRPr="002955BD">
              <w:t>0.0004</w:t>
            </w:r>
            <w:r>
              <w:t>)</w:t>
            </w:r>
            <w:r w:rsidRPr="002955BD">
              <w:rPr>
                <w:vertAlign w:val="superscript"/>
              </w:rPr>
              <w:t xml:space="preserve"> (</w:t>
            </w:r>
            <w:r>
              <w:rPr>
                <w:vertAlign w:val="superscript"/>
              </w:rPr>
              <w:t>a</w:t>
            </w:r>
            <w:r w:rsidRPr="002955BD">
              <w:rPr>
                <w:vertAlign w:val="superscript"/>
              </w:rPr>
              <w:t>)</w:t>
            </w:r>
          </w:p>
        </w:tc>
        <w:tc>
          <w:tcPr>
            <w:tcW w:w="1134" w:type="dxa"/>
          </w:tcPr>
          <w:p w14:paraId="0C6091F0" w14:textId="77777777" w:rsidR="00E42BF2" w:rsidRDefault="002955BD" w:rsidP="00B336FC">
            <w:r w:rsidRPr="002955BD">
              <w:t>39.9459</w:t>
            </w:r>
          </w:p>
          <w:p w14:paraId="39D0FEF7" w14:textId="4ECAD52C" w:rsidR="002955BD" w:rsidRDefault="002955BD" w:rsidP="00B336FC">
            <w:r>
              <w:t>(</w:t>
            </w:r>
            <w:r w:rsidRPr="002955BD">
              <w:t>0.0003</w:t>
            </w:r>
            <w:r>
              <w:t>)</w:t>
            </w:r>
            <w:r w:rsidRPr="002955BD">
              <w:rPr>
                <w:vertAlign w:val="superscript"/>
              </w:rPr>
              <w:t xml:space="preserve"> (a)</w:t>
            </w:r>
          </w:p>
        </w:tc>
        <w:tc>
          <w:tcPr>
            <w:tcW w:w="1134" w:type="dxa"/>
          </w:tcPr>
          <w:p w14:paraId="21D217A8" w14:textId="77777777" w:rsidR="00E42BF2" w:rsidRDefault="00E42BF2" w:rsidP="00B336FC"/>
        </w:tc>
        <w:tc>
          <w:tcPr>
            <w:tcW w:w="1165" w:type="dxa"/>
          </w:tcPr>
          <w:p w14:paraId="5D386C9A" w14:textId="77777777" w:rsidR="00E42BF2" w:rsidRDefault="002955BD" w:rsidP="00B336FC">
            <w:r w:rsidRPr="002955BD">
              <w:t>4.24404</w:t>
            </w:r>
          </w:p>
          <w:p w14:paraId="13E25E47" w14:textId="25559022" w:rsidR="002955BD" w:rsidRDefault="002955BD" w:rsidP="00B336FC">
            <w:r>
              <w:t>(</w:t>
            </w:r>
            <w:r w:rsidRPr="002955BD">
              <w:t>0.0000</w:t>
            </w:r>
            <w:r>
              <w:t>)</w:t>
            </w:r>
            <w:r w:rsidRPr="002955BD">
              <w:rPr>
                <w:vertAlign w:val="superscript"/>
              </w:rPr>
              <w:t xml:space="preserve"> (a)</w:t>
            </w:r>
          </w:p>
        </w:tc>
      </w:tr>
      <w:tr w:rsidR="00E42BF2" w14:paraId="173564F6" w14:textId="77777777" w:rsidTr="00503090">
        <w:tc>
          <w:tcPr>
            <w:tcW w:w="1067" w:type="dxa"/>
          </w:tcPr>
          <w:p w14:paraId="31F9A9A7" w14:textId="4BF98E28" w:rsidR="00E42BF2" w:rsidRPr="009142C9" w:rsidRDefault="00452EE8" w:rsidP="00B336FC">
            <w:pPr>
              <w:contextualSpacing/>
              <w:jc w:val="center"/>
            </w:pPr>
            <m:oMathPara>
              <m:oMath>
                <m:sSubSup>
                  <m:sSubSupPr>
                    <m:ctrlPr>
                      <w:rPr>
                        <w:rFonts w:ascii="Cambria Math" w:hAnsi="Cambria Math"/>
                        <w:sz w:val="24"/>
                        <w:szCs w:val="24"/>
                      </w:rPr>
                    </m:ctrlPr>
                  </m:sSubSupPr>
                  <m:e>
                    <m:r>
                      <w:rPr>
                        <w:rFonts w:ascii="Cambria Math" w:hAnsi="Cambria Math"/>
                        <w:sz w:val="24"/>
                        <w:szCs w:val="24"/>
                      </w:rPr>
                      <m:t>∆B</m:t>
                    </m:r>
                  </m:e>
                  <m:sub>
                    <m:r>
                      <w:rPr>
                        <w:rFonts w:ascii="Cambria Math" w:hAnsi="Cambria Math"/>
                        <w:sz w:val="24"/>
                        <w:szCs w:val="24"/>
                      </w:rPr>
                      <m:t>it</m:t>
                    </m:r>
                  </m:sub>
                  <m:sup>
                    <m:r>
                      <w:rPr>
                        <w:rFonts w:ascii="Cambria Math" w:hAnsi="Cambria Math"/>
                        <w:sz w:val="24"/>
                        <w:szCs w:val="24"/>
                      </w:rPr>
                      <m:t>EMDE</m:t>
                    </m:r>
                  </m:sup>
                </m:sSubSup>
              </m:oMath>
            </m:oMathPara>
          </w:p>
        </w:tc>
        <w:tc>
          <w:tcPr>
            <w:tcW w:w="937" w:type="dxa"/>
            <w:vAlign w:val="center"/>
          </w:tcPr>
          <w:p w14:paraId="51EE3193" w14:textId="67C12921" w:rsidR="00E42BF2" w:rsidRDefault="00E42BF2" w:rsidP="00B336FC">
            <w:pPr>
              <w:contextualSpacing/>
              <w:jc w:val="center"/>
            </w:pPr>
            <w:proofErr w:type="gramStart"/>
            <w:r w:rsidRPr="00271512">
              <w:t>C,T</w:t>
            </w:r>
            <w:proofErr w:type="gramEnd"/>
          </w:p>
        </w:tc>
        <w:tc>
          <w:tcPr>
            <w:tcW w:w="1252" w:type="dxa"/>
          </w:tcPr>
          <w:p w14:paraId="20B550D6" w14:textId="77777777" w:rsidR="00E42BF2" w:rsidRDefault="002955BD" w:rsidP="00B336FC">
            <w:r w:rsidRPr="002955BD">
              <w:t>-4.94188</w:t>
            </w:r>
          </w:p>
          <w:p w14:paraId="39F0C04D" w14:textId="575D67D7" w:rsidR="002955BD" w:rsidRDefault="002955BD" w:rsidP="00B336FC">
            <w:r>
              <w:t>(</w:t>
            </w:r>
            <w:r w:rsidRPr="002955BD">
              <w:t>0.0000</w:t>
            </w:r>
            <w:r>
              <w:t>)</w:t>
            </w:r>
            <w:r w:rsidRPr="002955BD">
              <w:rPr>
                <w:vertAlign w:val="superscript"/>
              </w:rPr>
              <w:t xml:space="preserve"> (a)</w:t>
            </w:r>
          </w:p>
        </w:tc>
        <w:tc>
          <w:tcPr>
            <w:tcW w:w="1275" w:type="dxa"/>
          </w:tcPr>
          <w:p w14:paraId="17558239" w14:textId="77777777" w:rsidR="00E42BF2" w:rsidRDefault="002955BD" w:rsidP="00B336FC">
            <w:r w:rsidRPr="002955BD">
              <w:t>-4.16601</w:t>
            </w:r>
          </w:p>
          <w:p w14:paraId="640E1307" w14:textId="641F2BB6" w:rsidR="002955BD" w:rsidRDefault="002955BD" w:rsidP="00B336FC">
            <w:r>
              <w:t>(</w:t>
            </w:r>
            <w:r w:rsidRPr="002955BD">
              <w:t>0.0000</w:t>
            </w:r>
            <w:r>
              <w:t>)</w:t>
            </w:r>
            <w:r w:rsidRPr="002955BD">
              <w:rPr>
                <w:vertAlign w:val="superscript"/>
              </w:rPr>
              <w:t xml:space="preserve"> (a)</w:t>
            </w:r>
          </w:p>
        </w:tc>
        <w:tc>
          <w:tcPr>
            <w:tcW w:w="1134" w:type="dxa"/>
          </w:tcPr>
          <w:p w14:paraId="5A89B101" w14:textId="77777777" w:rsidR="00E42BF2" w:rsidRDefault="002955BD" w:rsidP="00B336FC">
            <w:r w:rsidRPr="002955BD">
              <w:t>43.8261</w:t>
            </w:r>
          </w:p>
          <w:p w14:paraId="0AFCD135" w14:textId="226870B3" w:rsidR="002955BD" w:rsidRDefault="002955BD" w:rsidP="00B336FC">
            <w:r>
              <w:t>(</w:t>
            </w:r>
            <w:r w:rsidRPr="002955BD">
              <w:t>0.0001</w:t>
            </w:r>
            <w:r>
              <w:t>)</w:t>
            </w:r>
            <w:r w:rsidRPr="002955BD">
              <w:rPr>
                <w:vertAlign w:val="superscript"/>
              </w:rPr>
              <w:t xml:space="preserve"> (a)</w:t>
            </w:r>
          </w:p>
        </w:tc>
        <w:tc>
          <w:tcPr>
            <w:tcW w:w="1134" w:type="dxa"/>
          </w:tcPr>
          <w:p w14:paraId="0EAD9920" w14:textId="77777777" w:rsidR="00E42BF2" w:rsidRDefault="002955BD" w:rsidP="00B336FC">
            <w:r w:rsidRPr="002955BD">
              <w:t>61.8908</w:t>
            </w:r>
          </w:p>
          <w:p w14:paraId="1FF293AE" w14:textId="5EFA127E" w:rsidR="002955BD" w:rsidRDefault="002955BD" w:rsidP="00B336FC">
            <w:r>
              <w:t>(</w:t>
            </w:r>
            <w:r w:rsidRPr="002955BD">
              <w:t>0.0000</w:t>
            </w:r>
            <w:r>
              <w:t>)</w:t>
            </w:r>
            <w:r w:rsidRPr="002955BD">
              <w:rPr>
                <w:vertAlign w:val="superscript"/>
              </w:rPr>
              <w:t xml:space="preserve"> (a)</w:t>
            </w:r>
          </w:p>
        </w:tc>
        <w:tc>
          <w:tcPr>
            <w:tcW w:w="1134" w:type="dxa"/>
          </w:tcPr>
          <w:p w14:paraId="1D8E7280" w14:textId="77777777" w:rsidR="00E42BF2" w:rsidRDefault="002955BD" w:rsidP="00B336FC">
            <w:r w:rsidRPr="002955BD">
              <w:t>-1.88839</w:t>
            </w:r>
          </w:p>
          <w:p w14:paraId="3818413E" w14:textId="555C0AF4" w:rsidR="002955BD" w:rsidRDefault="002955BD" w:rsidP="00B336FC">
            <w:r>
              <w:t>(</w:t>
            </w:r>
            <w:r w:rsidRPr="002955BD">
              <w:t>0.0295</w:t>
            </w:r>
            <w:r>
              <w:t>)</w:t>
            </w:r>
            <w:r w:rsidRPr="002955BD">
              <w:rPr>
                <w:vertAlign w:val="superscript"/>
              </w:rPr>
              <w:t xml:space="preserve"> (b)</w:t>
            </w:r>
          </w:p>
        </w:tc>
        <w:tc>
          <w:tcPr>
            <w:tcW w:w="1165" w:type="dxa"/>
          </w:tcPr>
          <w:p w14:paraId="5E9F3989" w14:textId="77777777" w:rsidR="00E42BF2" w:rsidRDefault="002955BD" w:rsidP="00B336FC">
            <w:r w:rsidRPr="002955BD">
              <w:t>2.42198</w:t>
            </w:r>
          </w:p>
          <w:p w14:paraId="158BC8DC" w14:textId="013A9A92" w:rsidR="002955BD" w:rsidRDefault="002955BD" w:rsidP="00B336FC">
            <w:r>
              <w:t>(</w:t>
            </w:r>
            <w:r w:rsidRPr="002955BD">
              <w:t>0.0077</w:t>
            </w:r>
            <w:r>
              <w:t>)</w:t>
            </w:r>
            <w:r w:rsidRPr="002955BD">
              <w:rPr>
                <w:vertAlign w:val="superscript"/>
              </w:rPr>
              <w:t xml:space="preserve"> (a)</w:t>
            </w:r>
          </w:p>
        </w:tc>
      </w:tr>
    </w:tbl>
    <w:p w14:paraId="06F52844" w14:textId="77777777" w:rsidR="002955BD" w:rsidRPr="002955BD" w:rsidRDefault="002955BD" w:rsidP="002955BD">
      <w:pPr>
        <w:spacing w:after="0" w:line="240" w:lineRule="auto"/>
        <w:ind w:right="-1"/>
        <w:contextualSpacing/>
        <w:jc w:val="both"/>
        <w:rPr>
          <w:rFonts w:cstheme="minorHAnsi"/>
          <w:sz w:val="20"/>
          <w:szCs w:val="20"/>
        </w:rPr>
      </w:pPr>
      <w:r w:rsidRPr="002955BD">
        <w:rPr>
          <w:rFonts w:cstheme="minorHAnsi"/>
          <w:b/>
          <w:bCs/>
          <w:sz w:val="20"/>
          <w:szCs w:val="20"/>
        </w:rPr>
        <w:t>Nota:</w:t>
      </w:r>
      <w:r w:rsidRPr="002955BD">
        <w:rPr>
          <w:rFonts w:cstheme="minorHAnsi"/>
          <w:sz w:val="20"/>
          <w:szCs w:val="20"/>
        </w:rPr>
        <w:t xml:space="preserve"> Note que (a), (b) e (c) indicam que os coeficientes estimados são estatisticamente significantes ou rejeição da hipótese nula ao nível de significância de 1%, 5% e 10%, respectivamente. Os valores em parênteses são os valores-p.</w:t>
      </w:r>
    </w:p>
    <w:p w14:paraId="0F907182" w14:textId="6F0DFECE" w:rsidR="00B406F3" w:rsidRDefault="00B406F3" w:rsidP="00B406F3">
      <w:pPr>
        <w:spacing w:line="360" w:lineRule="auto"/>
        <w:jc w:val="both"/>
        <w:rPr>
          <w:rFonts w:ascii="Arial" w:hAnsi="Arial" w:cs="Arial"/>
          <w:sz w:val="24"/>
          <w:szCs w:val="24"/>
        </w:rPr>
      </w:pPr>
    </w:p>
    <w:p w14:paraId="1436F53A" w14:textId="5B70B0F3" w:rsidR="00B406F3" w:rsidRDefault="002955BD" w:rsidP="00B406F3">
      <w:pPr>
        <w:spacing w:line="360" w:lineRule="auto"/>
        <w:jc w:val="both"/>
        <w:rPr>
          <w:rFonts w:ascii="Arial" w:hAnsi="Arial" w:cs="Arial"/>
          <w:sz w:val="24"/>
          <w:szCs w:val="24"/>
        </w:rPr>
      </w:pPr>
      <w:r>
        <w:rPr>
          <w:rFonts w:ascii="Arial" w:hAnsi="Arial" w:cs="Arial"/>
          <w:sz w:val="24"/>
          <w:szCs w:val="24"/>
        </w:rPr>
        <w:tab/>
        <w:t>Os resultados obtidos indicam que</w:t>
      </w:r>
      <w:r w:rsidR="00B04C9D">
        <w:rPr>
          <w:rFonts w:ascii="Arial" w:hAnsi="Arial" w:cs="Arial"/>
          <w:sz w:val="24"/>
          <w:szCs w:val="24"/>
        </w:rPr>
        <w:t>, de modo geral, que a série de dívida, em proporção do PIB, das nações industrializadas, assim como dos mercados emergentes e economias em desenvolvimento, é estacionária em primeiras diferenças. Esse resultado é robusto nos modelos com constante, assim como modelos com constante e tendência determinística. Em outras palavras, esse resultado indica que a variação da dívida desse</w:t>
      </w:r>
      <w:r w:rsidR="00503090">
        <w:rPr>
          <w:rFonts w:ascii="Arial" w:hAnsi="Arial" w:cs="Arial"/>
          <w:sz w:val="24"/>
          <w:szCs w:val="24"/>
        </w:rPr>
        <w:t>s</w:t>
      </w:r>
      <w:r w:rsidR="00B04C9D">
        <w:rPr>
          <w:rFonts w:ascii="Arial" w:hAnsi="Arial" w:cs="Arial"/>
          <w:sz w:val="24"/>
          <w:szCs w:val="24"/>
        </w:rPr>
        <w:t xml:space="preserve"> dois grupos de países é sustentável.</w:t>
      </w:r>
    </w:p>
    <w:p w14:paraId="53478D33" w14:textId="51312114" w:rsidR="00B04C9D" w:rsidRPr="00B04C9D" w:rsidRDefault="00B04C9D" w:rsidP="00B04C9D">
      <w:pPr>
        <w:pStyle w:val="PargrafodaLista"/>
        <w:numPr>
          <w:ilvl w:val="0"/>
          <w:numId w:val="1"/>
        </w:numPr>
        <w:spacing w:line="360" w:lineRule="auto"/>
        <w:jc w:val="both"/>
        <w:rPr>
          <w:rFonts w:ascii="Arial" w:hAnsi="Arial" w:cs="Arial"/>
          <w:b/>
          <w:bCs/>
          <w:sz w:val="24"/>
          <w:szCs w:val="24"/>
        </w:rPr>
      </w:pPr>
      <w:r w:rsidRPr="00B04C9D">
        <w:rPr>
          <w:rFonts w:ascii="Arial" w:hAnsi="Arial" w:cs="Arial"/>
          <w:b/>
          <w:bCs/>
          <w:sz w:val="24"/>
          <w:szCs w:val="24"/>
        </w:rPr>
        <w:t>Considerações finais</w:t>
      </w:r>
    </w:p>
    <w:p w14:paraId="28EDBCAF" w14:textId="73C0FF4C" w:rsidR="00B406F3" w:rsidRDefault="00B04C9D" w:rsidP="00B04C9D">
      <w:pPr>
        <w:spacing w:line="360" w:lineRule="auto"/>
        <w:ind w:firstLine="708"/>
        <w:jc w:val="both"/>
        <w:rPr>
          <w:rFonts w:ascii="Arial" w:hAnsi="Arial" w:cs="Arial"/>
          <w:sz w:val="24"/>
          <w:szCs w:val="24"/>
        </w:rPr>
      </w:pPr>
      <w:r>
        <w:rPr>
          <w:rFonts w:ascii="Arial" w:hAnsi="Arial" w:cs="Arial"/>
          <w:sz w:val="24"/>
          <w:szCs w:val="24"/>
        </w:rPr>
        <w:t xml:space="preserve">Esse estudo teve por objetivo analisar </w:t>
      </w:r>
      <w:r w:rsidRPr="00345115">
        <w:rPr>
          <w:rFonts w:ascii="Arial" w:hAnsi="Arial" w:cs="Arial"/>
          <w:sz w:val="24"/>
          <w:szCs w:val="24"/>
        </w:rPr>
        <w:t xml:space="preserve">como as trajetórias de endividamento de determinados países se comportam quando  esses países estão sob uma regra fiscal de limite de dívida, assim como investigar se há uma </w:t>
      </w:r>
      <w:r w:rsidRPr="00345115">
        <w:rPr>
          <w:rFonts w:ascii="Arial" w:hAnsi="Arial" w:cs="Arial"/>
          <w:sz w:val="24"/>
          <w:szCs w:val="24"/>
        </w:rPr>
        <w:lastRenderedPageBreak/>
        <w:t>melhora na evolução do indicador de endividamento como percentual do PIB ao longo do tempo e relacionar os dois fatos: a mudança de trajetória à adoção da regra. Para isso será analisado o histórico do indicador em tela, bem como outros fatos econômicos que ajudam a entender como as trajetórias podem ter se alterado ao longo do tempo.</w:t>
      </w:r>
    </w:p>
    <w:p w14:paraId="5DA3CC9C" w14:textId="48FFE201" w:rsidR="00B04C9D" w:rsidRDefault="00B04C9D" w:rsidP="00B04C9D">
      <w:pPr>
        <w:spacing w:line="360" w:lineRule="auto"/>
        <w:ind w:firstLine="708"/>
        <w:jc w:val="both"/>
        <w:rPr>
          <w:rFonts w:ascii="Arial" w:hAnsi="Arial" w:cs="Arial"/>
          <w:sz w:val="24"/>
          <w:szCs w:val="24"/>
        </w:rPr>
      </w:pPr>
      <w:r>
        <w:rPr>
          <w:rFonts w:ascii="Arial" w:hAnsi="Arial" w:cs="Arial"/>
          <w:sz w:val="24"/>
          <w:szCs w:val="24"/>
        </w:rPr>
        <w:t>Os resultados obtidos a partir da aplicação de testes de raízes unitárias em dados de painel indicam que, de modo geral, que a série de dívida, em proporção do PIB, das nações industrializadas, assim como dos mercados emergentes e economias em desenvolvimento, é estacionária em primeiras diferenças. Esse resultado é robusto nos modelos com constante, assim como modelos com constante e tendência determinística. Em outras palavras, esse resultado indica que a variação da dívida desses dois grupos de países é sustentável.</w:t>
      </w:r>
    </w:p>
    <w:p w14:paraId="1B8E1D47" w14:textId="7508DEBC" w:rsidR="00B04C9D" w:rsidRDefault="00B04C9D" w:rsidP="00B04C9D">
      <w:pPr>
        <w:spacing w:line="360" w:lineRule="auto"/>
        <w:ind w:firstLine="708"/>
        <w:jc w:val="both"/>
        <w:rPr>
          <w:rFonts w:ascii="Arial" w:hAnsi="Arial" w:cs="Arial"/>
          <w:sz w:val="24"/>
          <w:szCs w:val="24"/>
        </w:rPr>
      </w:pPr>
      <w:r>
        <w:rPr>
          <w:rFonts w:ascii="Arial" w:hAnsi="Arial" w:cs="Arial"/>
          <w:sz w:val="24"/>
          <w:szCs w:val="24"/>
        </w:rPr>
        <w:t>Futuros desdobramentos dessa pesquisa deverão considerar, na análise de estacionariedade da série de dívida, em proporção do PIB, a presença de quebras estruturais, assim como os períodos em que se adotou regras de dívida nos países de cada grupo.</w:t>
      </w:r>
    </w:p>
    <w:p w14:paraId="487FA4F1" w14:textId="36110143" w:rsidR="00503090" w:rsidRDefault="00503090" w:rsidP="00B04C9D">
      <w:pPr>
        <w:spacing w:line="360" w:lineRule="auto"/>
        <w:ind w:firstLine="708"/>
        <w:jc w:val="both"/>
        <w:rPr>
          <w:rFonts w:ascii="Arial" w:hAnsi="Arial" w:cs="Arial"/>
          <w:sz w:val="24"/>
          <w:szCs w:val="24"/>
        </w:rPr>
      </w:pPr>
    </w:p>
    <w:p w14:paraId="456A4A2C" w14:textId="19AC43DE" w:rsidR="00DC0F72" w:rsidRDefault="00DC0F72" w:rsidP="00B04C9D">
      <w:pPr>
        <w:spacing w:line="360" w:lineRule="auto"/>
        <w:ind w:firstLine="708"/>
        <w:jc w:val="both"/>
        <w:rPr>
          <w:rFonts w:ascii="Arial" w:hAnsi="Arial" w:cs="Arial"/>
          <w:sz w:val="24"/>
          <w:szCs w:val="24"/>
        </w:rPr>
      </w:pPr>
    </w:p>
    <w:p w14:paraId="00B452E0" w14:textId="13CB7CDE" w:rsidR="00DC0F72" w:rsidRDefault="00DC0F72" w:rsidP="00B04C9D">
      <w:pPr>
        <w:spacing w:line="360" w:lineRule="auto"/>
        <w:ind w:firstLine="708"/>
        <w:jc w:val="both"/>
        <w:rPr>
          <w:rFonts w:ascii="Arial" w:hAnsi="Arial" w:cs="Arial"/>
          <w:sz w:val="24"/>
          <w:szCs w:val="24"/>
        </w:rPr>
      </w:pPr>
    </w:p>
    <w:p w14:paraId="0082146D" w14:textId="5FA67FD4" w:rsidR="00DC0F72" w:rsidRDefault="00DC0F72" w:rsidP="00B04C9D">
      <w:pPr>
        <w:spacing w:line="360" w:lineRule="auto"/>
        <w:ind w:firstLine="708"/>
        <w:jc w:val="both"/>
        <w:rPr>
          <w:rFonts w:ascii="Arial" w:hAnsi="Arial" w:cs="Arial"/>
          <w:sz w:val="24"/>
          <w:szCs w:val="24"/>
        </w:rPr>
      </w:pPr>
    </w:p>
    <w:p w14:paraId="1182C3BB" w14:textId="3322F1F3" w:rsidR="00DC0F72" w:rsidRDefault="00DC0F72" w:rsidP="00B04C9D">
      <w:pPr>
        <w:spacing w:line="360" w:lineRule="auto"/>
        <w:ind w:firstLine="708"/>
        <w:jc w:val="both"/>
        <w:rPr>
          <w:rFonts w:ascii="Arial" w:hAnsi="Arial" w:cs="Arial"/>
          <w:sz w:val="24"/>
          <w:szCs w:val="24"/>
        </w:rPr>
      </w:pPr>
    </w:p>
    <w:p w14:paraId="5EA8B7B7" w14:textId="78848C72" w:rsidR="00DC0F72" w:rsidRDefault="00DC0F72" w:rsidP="00B04C9D">
      <w:pPr>
        <w:spacing w:line="360" w:lineRule="auto"/>
        <w:ind w:firstLine="708"/>
        <w:jc w:val="both"/>
        <w:rPr>
          <w:rFonts w:ascii="Arial" w:hAnsi="Arial" w:cs="Arial"/>
          <w:sz w:val="24"/>
          <w:szCs w:val="24"/>
        </w:rPr>
      </w:pPr>
    </w:p>
    <w:p w14:paraId="100CE81B" w14:textId="2D8F99F0" w:rsidR="00DC0F72" w:rsidRDefault="00DC0F72" w:rsidP="00B04C9D">
      <w:pPr>
        <w:spacing w:line="360" w:lineRule="auto"/>
        <w:ind w:firstLine="708"/>
        <w:jc w:val="both"/>
        <w:rPr>
          <w:rFonts w:ascii="Arial" w:hAnsi="Arial" w:cs="Arial"/>
          <w:sz w:val="24"/>
          <w:szCs w:val="24"/>
        </w:rPr>
      </w:pPr>
    </w:p>
    <w:p w14:paraId="79114AD3" w14:textId="09CBD802" w:rsidR="00DC0F72" w:rsidRDefault="00DC0F72" w:rsidP="00B04C9D">
      <w:pPr>
        <w:spacing w:line="360" w:lineRule="auto"/>
        <w:ind w:firstLine="708"/>
        <w:jc w:val="both"/>
        <w:rPr>
          <w:rFonts w:ascii="Arial" w:hAnsi="Arial" w:cs="Arial"/>
          <w:sz w:val="24"/>
          <w:szCs w:val="24"/>
        </w:rPr>
      </w:pPr>
    </w:p>
    <w:p w14:paraId="6C2A725B" w14:textId="2285C4CD" w:rsidR="00DC0F72" w:rsidRDefault="00DC0F72" w:rsidP="00B04C9D">
      <w:pPr>
        <w:spacing w:line="360" w:lineRule="auto"/>
        <w:ind w:firstLine="708"/>
        <w:jc w:val="both"/>
        <w:rPr>
          <w:rFonts w:ascii="Arial" w:hAnsi="Arial" w:cs="Arial"/>
          <w:sz w:val="24"/>
          <w:szCs w:val="24"/>
        </w:rPr>
      </w:pPr>
    </w:p>
    <w:p w14:paraId="00DBBE60" w14:textId="63BD712B" w:rsidR="00DC0F72" w:rsidRDefault="00DC0F72" w:rsidP="00B04C9D">
      <w:pPr>
        <w:spacing w:line="360" w:lineRule="auto"/>
        <w:ind w:firstLine="708"/>
        <w:jc w:val="both"/>
        <w:rPr>
          <w:rFonts w:ascii="Arial" w:hAnsi="Arial" w:cs="Arial"/>
          <w:sz w:val="24"/>
          <w:szCs w:val="24"/>
        </w:rPr>
      </w:pPr>
    </w:p>
    <w:p w14:paraId="75AB750B" w14:textId="77777777" w:rsidR="00DC0F72" w:rsidRPr="00345115" w:rsidRDefault="00DC0F72" w:rsidP="00B04C9D">
      <w:pPr>
        <w:spacing w:line="360" w:lineRule="auto"/>
        <w:ind w:firstLine="708"/>
        <w:jc w:val="both"/>
        <w:rPr>
          <w:rFonts w:ascii="Arial" w:hAnsi="Arial" w:cs="Arial"/>
          <w:sz w:val="24"/>
          <w:szCs w:val="24"/>
        </w:rPr>
      </w:pPr>
    </w:p>
    <w:p w14:paraId="514F0348" w14:textId="77777777" w:rsidR="00882B94" w:rsidRPr="00345115" w:rsidRDefault="00882B94" w:rsidP="00B406F3">
      <w:pPr>
        <w:pStyle w:val="Ttulo1"/>
        <w:rPr>
          <w:rFonts w:ascii="Arial" w:hAnsi="Arial" w:cs="Arial"/>
          <w:color w:val="auto"/>
          <w:sz w:val="24"/>
          <w:szCs w:val="24"/>
        </w:rPr>
      </w:pPr>
      <w:bookmarkStart w:id="5" w:name="_Toc536694245"/>
      <w:r w:rsidRPr="00345115">
        <w:rPr>
          <w:rFonts w:ascii="Arial" w:hAnsi="Arial" w:cs="Arial"/>
          <w:color w:val="auto"/>
          <w:sz w:val="24"/>
          <w:szCs w:val="24"/>
        </w:rPr>
        <w:lastRenderedPageBreak/>
        <w:t>REFERÊNCIAS</w:t>
      </w:r>
      <w:bookmarkEnd w:id="5"/>
    </w:p>
    <w:p w14:paraId="5F3DB154" w14:textId="77777777" w:rsidR="00882B94" w:rsidRPr="00345115" w:rsidRDefault="00882B94" w:rsidP="00882B94">
      <w:pPr>
        <w:rPr>
          <w:rFonts w:ascii="Arial" w:hAnsi="Arial" w:cs="Arial"/>
          <w:b/>
          <w:bCs/>
          <w:sz w:val="24"/>
          <w:szCs w:val="24"/>
        </w:rPr>
      </w:pPr>
    </w:p>
    <w:p w14:paraId="5CC8CAFD" w14:textId="77777777" w:rsidR="00882B94" w:rsidRPr="00345115" w:rsidRDefault="00882B94" w:rsidP="00882B94">
      <w:pPr>
        <w:jc w:val="both"/>
        <w:rPr>
          <w:rFonts w:ascii="Arial" w:hAnsi="Arial" w:cs="Arial"/>
          <w:bCs/>
          <w:sz w:val="24"/>
          <w:szCs w:val="24"/>
        </w:rPr>
      </w:pPr>
      <w:r w:rsidRPr="00345115">
        <w:rPr>
          <w:rFonts w:ascii="Arial" w:hAnsi="Arial" w:cs="Arial"/>
          <w:bCs/>
          <w:sz w:val="24"/>
          <w:szCs w:val="24"/>
        </w:rPr>
        <w:t>ARESTIS, P.</w:t>
      </w:r>
      <w:r w:rsidRPr="00345115">
        <w:rPr>
          <w:rFonts w:ascii="Arial" w:hAnsi="Arial" w:cs="Arial"/>
          <w:b/>
          <w:bCs/>
          <w:sz w:val="24"/>
          <w:szCs w:val="24"/>
        </w:rPr>
        <w:t xml:space="preserve"> </w:t>
      </w:r>
      <w:r w:rsidRPr="00345115">
        <w:rPr>
          <w:rFonts w:ascii="Arial" w:hAnsi="Arial" w:cs="Arial"/>
          <w:b/>
          <w:bCs/>
          <w:i/>
          <w:sz w:val="24"/>
          <w:szCs w:val="24"/>
        </w:rPr>
        <w:t xml:space="preserve">Fiscal </w:t>
      </w:r>
      <w:proofErr w:type="spellStart"/>
      <w:r w:rsidRPr="00345115">
        <w:rPr>
          <w:rFonts w:ascii="Arial" w:hAnsi="Arial" w:cs="Arial"/>
          <w:b/>
          <w:bCs/>
          <w:i/>
          <w:sz w:val="24"/>
          <w:szCs w:val="24"/>
        </w:rPr>
        <w:t>Policy</w:t>
      </w:r>
      <w:proofErr w:type="spellEnd"/>
      <w:r w:rsidRPr="00345115">
        <w:rPr>
          <w:rFonts w:ascii="Arial" w:hAnsi="Arial" w:cs="Arial"/>
          <w:b/>
          <w:bCs/>
          <w:i/>
          <w:sz w:val="24"/>
          <w:szCs w:val="24"/>
        </w:rPr>
        <w:t xml:space="preserve">: A Strong </w:t>
      </w:r>
      <w:proofErr w:type="spellStart"/>
      <w:r w:rsidRPr="00345115">
        <w:rPr>
          <w:rFonts w:ascii="Arial" w:hAnsi="Arial" w:cs="Arial"/>
          <w:b/>
          <w:bCs/>
          <w:i/>
          <w:sz w:val="24"/>
          <w:szCs w:val="24"/>
        </w:rPr>
        <w:t>Macroeconomic</w:t>
      </w:r>
      <w:proofErr w:type="spellEnd"/>
      <w:r w:rsidRPr="00345115">
        <w:rPr>
          <w:rFonts w:ascii="Arial" w:hAnsi="Arial" w:cs="Arial"/>
          <w:b/>
          <w:bCs/>
          <w:i/>
          <w:sz w:val="24"/>
          <w:szCs w:val="24"/>
        </w:rPr>
        <w:t xml:space="preserve"> Role.</w:t>
      </w:r>
      <w:r w:rsidRPr="00345115">
        <w:rPr>
          <w:rFonts w:ascii="Arial" w:hAnsi="Arial" w:cs="Arial"/>
          <w:b/>
          <w:bCs/>
          <w:sz w:val="24"/>
          <w:szCs w:val="24"/>
        </w:rPr>
        <w:t xml:space="preserve"> </w:t>
      </w:r>
      <w:r w:rsidRPr="00345115">
        <w:rPr>
          <w:rFonts w:ascii="Arial" w:hAnsi="Arial" w:cs="Arial"/>
          <w:bCs/>
          <w:sz w:val="24"/>
          <w:szCs w:val="24"/>
        </w:rPr>
        <w:t xml:space="preserve">Review </w:t>
      </w:r>
      <w:proofErr w:type="spellStart"/>
      <w:r w:rsidRPr="00345115">
        <w:rPr>
          <w:rFonts w:ascii="Arial" w:hAnsi="Arial" w:cs="Arial"/>
          <w:bCs/>
          <w:sz w:val="24"/>
          <w:szCs w:val="24"/>
        </w:rPr>
        <w:t>of</w:t>
      </w:r>
      <w:proofErr w:type="spellEnd"/>
      <w:r w:rsidRPr="00345115">
        <w:rPr>
          <w:rFonts w:ascii="Arial" w:hAnsi="Arial" w:cs="Arial"/>
          <w:bCs/>
          <w:sz w:val="24"/>
          <w:szCs w:val="24"/>
        </w:rPr>
        <w:t xml:space="preserve"> </w:t>
      </w:r>
      <w:proofErr w:type="spellStart"/>
      <w:r w:rsidRPr="00345115">
        <w:rPr>
          <w:rFonts w:ascii="Arial" w:hAnsi="Arial" w:cs="Arial"/>
          <w:bCs/>
          <w:sz w:val="24"/>
          <w:szCs w:val="24"/>
        </w:rPr>
        <w:t>Keynesian</w:t>
      </w:r>
      <w:proofErr w:type="spellEnd"/>
      <w:r w:rsidRPr="00345115">
        <w:rPr>
          <w:rFonts w:ascii="Arial" w:hAnsi="Arial" w:cs="Arial"/>
          <w:bCs/>
          <w:sz w:val="24"/>
          <w:szCs w:val="24"/>
        </w:rPr>
        <w:t xml:space="preserve"> </w:t>
      </w:r>
      <w:proofErr w:type="spellStart"/>
      <w:r w:rsidRPr="00345115">
        <w:rPr>
          <w:rFonts w:ascii="Arial" w:hAnsi="Arial" w:cs="Arial"/>
          <w:bCs/>
          <w:sz w:val="24"/>
          <w:szCs w:val="24"/>
        </w:rPr>
        <w:t>Economics</w:t>
      </w:r>
      <w:proofErr w:type="spellEnd"/>
      <w:r w:rsidRPr="00345115">
        <w:rPr>
          <w:rFonts w:ascii="Arial" w:hAnsi="Arial" w:cs="Arial"/>
          <w:bCs/>
          <w:sz w:val="24"/>
          <w:szCs w:val="24"/>
        </w:rPr>
        <w:t xml:space="preserve">, n. Inaugural </w:t>
      </w:r>
      <w:proofErr w:type="spellStart"/>
      <w:r w:rsidRPr="00345115">
        <w:rPr>
          <w:rFonts w:ascii="Arial" w:hAnsi="Arial" w:cs="Arial"/>
          <w:bCs/>
          <w:sz w:val="24"/>
          <w:szCs w:val="24"/>
        </w:rPr>
        <w:t>Issue</w:t>
      </w:r>
      <w:proofErr w:type="spellEnd"/>
      <w:r w:rsidRPr="00345115">
        <w:rPr>
          <w:rFonts w:ascii="Arial" w:hAnsi="Arial" w:cs="Arial"/>
          <w:bCs/>
          <w:sz w:val="24"/>
          <w:szCs w:val="24"/>
        </w:rPr>
        <w:t>, p. 93–108, 2012.</w:t>
      </w:r>
    </w:p>
    <w:p w14:paraId="520271FA" w14:textId="42DB593D" w:rsidR="00DC0F72" w:rsidRDefault="00DC0F72" w:rsidP="00DC0F72">
      <w:pPr>
        <w:autoSpaceDE w:val="0"/>
        <w:autoSpaceDN w:val="0"/>
        <w:adjustRightInd w:val="0"/>
        <w:spacing w:after="0"/>
        <w:jc w:val="both"/>
        <w:rPr>
          <w:rFonts w:ascii="Arial" w:hAnsi="Arial" w:cs="Arial"/>
          <w:sz w:val="24"/>
          <w:szCs w:val="24"/>
        </w:rPr>
      </w:pPr>
      <w:r w:rsidRPr="00345115">
        <w:rPr>
          <w:rFonts w:ascii="Arial" w:hAnsi="Arial" w:cs="Arial"/>
          <w:sz w:val="24"/>
          <w:szCs w:val="24"/>
        </w:rPr>
        <w:t xml:space="preserve">BREITUNG, J. </w:t>
      </w:r>
      <w:r w:rsidRPr="00345115">
        <w:rPr>
          <w:rFonts w:ascii="Arial" w:hAnsi="Arial" w:cs="Arial"/>
          <w:b/>
          <w:bCs/>
          <w:sz w:val="24"/>
          <w:szCs w:val="24"/>
        </w:rPr>
        <w:t xml:space="preserve">The local </w:t>
      </w:r>
      <w:proofErr w:type="spellStart"/>
      <w:r w:rsidRPr="00345115">
        <w:rPr>
          <w:rFonts w:ascii="Arial" w:hAnsi="Arial" w:cs="Arial"/>
          <w:b/>
          <w:bCs/>
          <w:sz w:val="24"/>
          <w:szCs w:val="24"/>
        </w:rPr>
        <w:t>power</w:t>
      </w:r>
      <w:proofErr w:type="spellEnd"/>
      <w:r w:rsidRPr="00345115">
        <w:rPr>
          <w:rFonts w:ascii="Arial" w:hAnsi="Arial" w:cs="Arial"/>
          <w:b/>
          <w:bCs/>
          <w:sz w:val="24"/>
          <w:szCs w:val="24"/>
        </w:rPr>
        <w:t xml:space="preserve"> </w:t>
      </w:r>
      <w:proofErr w:type="spellStart"/>
      <w:r w:rsidRPr="00345115">
        <w:rPr>
          <w:rFonts w:ascii="Arial" w:hAnsi="Arial" w:cs="Arial"/>
          <w:b/>
          <w:bCs/>
          <w:sz w:val="24"/>
          <w:szCs w:val="24"/>
        </w:rPr>
        <w:t>of</w:t>
      </w:r>
      <w:proofErr w:type="spellEnd"/>
      <w:r w:rsidRPr="00345115">
        <w:rPr>
          <w:rFonts w:ascii="Arial" w:hAnsi="Arial" w:cs="Arial"/>
          <w:b/>
          <w:bCs/>
          <w:sz w:val="24"/>
          <w:szCs w:val="24"/>
        </w:rPr>
        <w:t xml:space="preserve"> some </w:t>
      </w:r>
      <w:proofErr w:type="spellStart"/>
      <w:r w:rsidRPr="00345115">
        <w:rPr>
          <w:rFonts w:ascii="Arial" w:hAnsi="Arial" w:cs="Arial"/>
          <w:b/>
          <w:bCs/>
          <w:sz w:val="24"/>
          <w:szCs w:val="24"/>
        </w:rPr>
        <w:t>unit</w:t>
      </w:r>
      <w:proofErr w:type="spellEnd"/>
      <w:r w:rsidRPr="00345115">
        <w:rPr>
          <w:rFonts w:ascii="Arial" w:hAnsi="Arial" w:cs="Arial"/>
          <w:b/>
          <w:bCs/>
          <w:sz w:val="24"/>
          <w:szCs w:val="24"/>
        </w:rPr>
        <w:t xml:space="preserve"> root </w:t>
      </w:r>
      <w:proofErr w:type="spellStart"/>
      <w:r w:rsidRPr="00345115">
        <w:rPr>
          <w:rFonts w:ascii="Arial" w:hAnsi="Arial" w:cs="Arial"/>
          <w:b/>
          <w:bCs/>
          <w:sz w:val="24"/>
          <w:szCs w:val="24"/>
        </w:rPr>
        <w:t>tests</w:t>
      </w:r>
      <w:proofErr w:type="spellEnd"/>
      <w:r w:rsidRPr="00345115">
        <w:rPr>
          <w:rFonts w:ascii="Arial" w:hAnsi="Arial" w:cs="Arial"/>
          <w:b/>
          <w:bCs/>
          <w:sz w:val="24"/>
          <w:szCs w:val="24"/>
        </w:rPr>
        <w:t xml:space="preserve"> for </w:t>
      </w:r>
      <w:proofErr w:type="spellStart"/>
      <w:r w:rsidRPr="00345115">
        <w:rPr>
          <w:rFonts w:ascii="Arial" w:hAnsi="Arial" w:cs="Arial"/>
          <w:b/>
          <w:bCs/>
          <w:sz w:val="24"/>
          <w:szCs w:val="24"/>
        </w:rPr>
        <w:t>panel</w:t>
      </w:r>
      <w:proofErr w:type="spellEnd"/>
      <w:r w:rsidRPr="00345115">
        <w:rPr>
          <w:rFonts w:ascii="Arial" w:hAnsi="Arial" w:cs="Arial"/>
          <w:b/>
          <w:bCs/>
          <w:sz w:val="24"/>
          <w:szCs w:val="24"/>
        </w:rPr>
        <w:t xml:space="preserve"> data</w:t>
      </w:r>
      <w:r w:rsidRPr="00345115">
        <w:rPr>
          <w:rFonts w:ascii="Arial" w:hAnsi="Arial" w:cs="Arial"/>
          <w:sz w:val="24"/>
          <w:szCs w:val="24"/>
        </w:rPr>
        <w:t xml:space="preserve">. In: BALTAGI, B. H. (Org.). </w:t>
      </w:r>
      <w:proofErr w:type="spellStart"/>
      <w:r w:rsidRPr="00345115">
        <w:rPr>
          <w:rFonts w:ascii="Arial" w:hAnsi="Arial" w:cs="Arial"/>
          <w:sz w:val="24"/>
          <w:szCs w:val="24"/>
        </w:rPr>
        <w:t>Nonstationary</w:t>
      </w:r>
      <w:proofErr w:type="spellEnd"/>
      <w:r w:rsidRPr="00345115">
        <w:rPr>
          <w:rFonts w:ascii="Arial" w:hAnsi="Arial" w:cs="Arial"/>
          <w:sz w:val="24"/>
          <w:szCs w:val="24"/>
        </w:rPr>
        <w:t xml:space="preserve"> </w:t>
      </w:r>
      <w:proofErr w:type="spellStart"/>
      <w:r w:rsidRPr="00345115">
        <w:rPr>
          <w:rFonts w:ascii="Arial" w:hAnsi="Arial" w:cs="Arial"/>
          <w:sz w:val="24"/>
          <w:szCs w:val="24"/>
        </w:rPr>
        <w:t>panels</w:t>
      </w:r>
      <w:proofErr w:type="spellEnd"/>
      <w:r w:rsidRPr="00345115">
        <w:rPr>
          <w:rFonts w:ascii="Arial" w:hAnsi="Arial" w:cs="Arial"/>
          <w:sz w:val="24"/>
          <w:szCs w:val="24"/>
        </w:rPr>
        <w:t xml:space="preserve">, </w:t>
      </w:r>
      <w:proofErr w:type="spellStart"/>
      <w:r w:rsidRPr="00345115">
        <w:rPr>
          <w:rFonts w:ascii="Arial" w:hAnsi="Arial" w:cs="Arial"/>
          <w:sz w:val="24"/>
          <w:szCs w:val="24"/>
        </w:rPr>
        <w:t>panel</w:t>
      </w:r>
      <w:proofErr w:type="spellEnd"/>
      <w:r w:rsidRPr="00345115">
        <w:rPr>
          <w:rFonts w:ascii="Arial" w:hAnsi="Arial" w:cs="Arial"/>
          <w:sz w:val="24"/>
          <w:szCs w:val="24"/>
        </w:rPr>
        <w:t xml:space="preserve"> </w:t>
      </w:r>
      <w:proofErr w:type="spellStart"/>
      <w:r w:rsidRPr="00345115">
        <w:rPr>
          <w:rFonts w:ascii="Arial" w:hAnsi="Arial" w:cs="Arial"/>
          <w:sz w:val="24"/>
          <w:szCs w:val="24"/>
        </w:rPr>
        <w:t>cointegration</w:t>
      </w:r>
      <w:proofErr w:type="spellEnd"/>
      <w:r w:rsidRPr="00345115">
        <w:rPr>
          <w:rFonts w:ascii="Arial" w:hAnsi="Arial" w:cs="Arial"/>
          <w:sz w:val="24"/>
          <w:szCs w:val="24"/>
        </w:rPr>
        <w:t xml:space="preserve">, </w:t>
      </w:r>
      <w:proofErr w:type="spellStart"/>
      <w:r w:rsidRPr="00345115">
        <w:rPr>
          <w:rFonts w:ascii="Arial" w:hAnsi="Arial" w:cs="Arial"/>
          <w:sz w:val="24"/>
          <w:szCs w:val="24"/>
        </w:rPr>
        <w:t>and</w:t>
      </w:r>
      <w:proofErr w:type="spellEnd"/>
      <w:r w:rsidRPr="00345115">
        <w:rPr>
          <w:rFonts w:ascii="Arial" w:hAnsi="Arial" w:cs="Arial"/>
          <w:sz w:val="24"/>
          <w:szCs w:val="24"/>
        </w:rPr>
        <w:t xml:space="preserve"> </w:t>
      </w:r>
      <w:proofErr w:type="spellStart"/>
      <w:r w:rsidRPr="00345115">
        <w:rPr>
          <w:rFonts w:ascii="Arial" w:hAnsi="Arial" w:cs="Arial"/>
          <w:sz w:val="24"/>
          <w:szCs w:val="24"/>
        </w:rPr>
        <w:t>dynamic</w:t>
      </w:r>
      <w:proofErr w:type="spellEnd"/>
      <w:r w:rsidRPr="00345115">
        <w:rPr>
          <w:rFonts w:ascii="Arial" w:hAnsi="Arial" w:cs="Arial"/>
          <w:sz w:val="24"/>
          <w:szCs w:val="24"/>
        </w:rPr>
        <w:t xml:space="preserve"> </w:t>
      </w:r>
      <w:proofErr w:type="spellStart"/>
      <w:r w:rsidRPr="00345115">
        <w:rPr>
          <w:rFonts w:ascii="Arial" w:hAnsi="Arial" w:cs="Arial"/>
          <w:sz w:val="24"/>
          <w:szCs w:val="24"/>
        </w:rPr>
        <w:t>panels</w:t>
      </w:r>
      <w:proofErr w:type="spellEnd"/>
      <w:r w:rsidRPr="00345115">
        <w:rPr>
          <w:rFonts w:ascii="Arial" w:hAnsi="Arial" w:cs="Arial"/>
          <w:sz w:val="24"/>
          <w:szCs w:val="24"/>
        </w:rPr>
        <w:t xml:space="preserve">, </w:t>
      </w:r>
      <w:proofErr w:type="spellStart"/>
      <w:r w:rsidRPr="00345115">
        <w:rPr>
          <w:rFonts w:ascii="Arial" w:hAnsi="Arial" w:cs="Arial"/>
          <w:sz w:val="24"/>
          <w:szCs w:val="24"/>
        </w:rPr>
        <w:t>Advances</w:t>
      </w:r>
      <w:proofErr w:type="spellEnd"/>
      <w:r w:rsidRPr="00345115">
        <w:rPr>
          <w:rFonts w:ascii="Arial" w:hAnsi="Arial" w:cs="Arial"/>
          <w:sz w:val="24"/>
          <w:szCs w:val="24"/>
        </w:rPr>
        <w:t xml:space="preserve"> in </w:t>
      </w:r>
      <w:proofErr w:type="spellStart"/>
      <w:r w:rsidRPr="00345115">
        <w:rPr>
          <w:rFonts w:ascii="Arial" w:hAnsi="Arial" w:cs="Arial"/>
          <w:sz w:val="24"/>
          <w:szCs w:val="24"/>
        </w:rPr>
        <w:t>Econometrics</w:t>
      </w:r>
      <w:proofErr w:type="spellEnd"/>
      <w:r w:rsidRPr="00345115">
        <w:rPr>
          <w:rFonts w:ascii="Arial" w:hAnsi="Arial" w:cs="Arial"/>
          <w:sz w:val="24"/>
          <w:szCs w:val="24"/>
        </w:rPr>
        <w:t>, v. 15, Elsevier Science, p. 161-178, 2000.</w:t>
      </w:r>
    </w:p>
    <w:p w14:paraId="73FB55B2" w14:textId="77777777" w:rsidR="00DC0F72" w:rsidRPr="00345115" w:rsidRDefault="00DC0F72" w:rsidP="00DC0F72">
      <w:pPr>
        <w:autoSpaceDE w:val="0"/>
        <w:autoSpaceDN w:val="0"/>
        <w:adjustRightInd w:val="0"/>
        <w:spacing w:after="0"/>
        <w:jc w:val="both"/>
        <w:rPr>
          <w:rFonts w:ascii="Arial" w:hAnsi="Arial" w:cs="Arial"/>
          <w:sz w:val="24"/>
          <w:szCs w:val="24"/>
        </w:rPr>
      </w:pPr>
    </w:p>
    <w:p w14:paraId="1E204632" w14:textId="77777777" w:rsidR="00882B94" w:rsidRPr="00345115" w:rsidRDefault="00882B94" w:rsidP="00882B94">
      <w:pPr>
        <w:autoSpaceDE w:val="0"/>
        <w:autoSpaceDN w:val="0"/>
        <w:adjustRightInd w:val="0"/>
        <w:spacing w:after="0"/>
        <w:jc w:val="both"/>
        <w:rPr>
          <w:rFonts w:ascii="Arial" w:hAnsi="Arial" w:cs="Arial"/>
          <w:sz w:val="24"/>
          <w:szCs w:val="24"/>
        </w:rPr>
      </w:pPr>
      <w:r w:rsidRPr="00345115">
        <w:rPr>
          <w:rFonts w:ascii="Arial" w:hAnsi="Arial" w:cs="Arial"/>
          <w:sz w:val="24"/>
          <w:szCs w:val="24"/>
        </w:rPr>
        <w:t xml:space="preserve">CATTAN, R. S. de O. </w:t>
      </w:r>
      <w:r w:rsidRPr="00345115">
        <w:rPr>
          <w:rFonts w:ascii="Arial" w:hAnsi="Arial" w:cs="Arial"/>
          <w:b/>
          <w:sz w:val="24"/>
          <w:szCs w:val="24"/>
        </w:rPr>
        <w:t>Política Fiscal e crescimento econômico: uma análise do período de metas de inflação no Brasil.</w:t>
      </w:r>
      <w:r w:rsidRPr="00345115">
        <w:rPr>
          <w:rFonts w:ascii="Arial" w:hAnsi="Arial" w:cs="Arial"/>
          <w:sz w:val="24"/>
          <w:szCs w:val="24"/>
        </w:rPr>
        <w:t xml:space="preserve"> Unicamp, 2017.</w:t>
      </w:r>
    </w:p>
    <w:p w14:paraId="5731B06C" w14:textId="77777777" w:rsidR="00882B94" w:rsidRPr="00345115" w:rsidRDefault="00882B94" w:rsidP="00882B94">
      <w:pPr>
        <w:autoSpaceDE w:val="0"/>
        <w:autoSpaceDN w:val="0"/>
        <w:adjustRightInd w:val="0"/>
        <w:spacing w:after="0"/>
        <w:jc w:val="both"/>
        <w:rPr>
          <w:rFonts w:ascii="Arial" w:hAnsi="Arial" w:cs="Arial"/>
          <w:sz w:val="24"/>
          <w:szCs w:val="24"/>
        </w:rPr>
      </w:pPr>
    </w:p>
    <w:p w14:paraId="5B668685" w14:textId="77777777" w:rsidR="00DC0F72" w:rsidRPr="00345115" w:rsidRDefault="00DC0F72" w:rsidP="00DC0F72">
      <w:pPr>
        <w:autoSpaceDE w:val="0"/>
        <w:autoSpaceDN w:val="0"/>
        <w:adjustRightInd w:val="0"/>
        <w:spacing w:after="0"/>
        <w:jc w:val="both"/>
        <w:rPr>
          <w:rFonts w:ascii="Arial" w:hAnsi="Arial" w:cs="Arial"/>
          <w:sz w:val="24"/>
          <w:szCs w:val="24"/>
        </w:rPr>
      </w:pPr>
      <w:r w:rsidRPr="00345115">
        <w:rPr>
          <w:rFonts w:ascii="Arial" w:hAnsi="Arial" w:cs="Arial"/>
          <w:sz w:val="24"/>
          <w:szCs w:val="24"/>
        </w:rPr>
        <w:t xml:space="preserve">CHOI, I. </w:t>
      </w:r>
      <w:r w:rsidRPr="00345115">
        <w:rPr>
          <w:rFonts w:ascii="Arial" w:hAnsi="Arial" w:cs="Arial"/>
          <w:b/>
          <w:bCs/>
          <w:sz w:val="24"/>
          <w:szCs w:val="24"/>
        </w:rPr>
        <w:t xml:space="preserve">Unit root </w:t>
      </w:r>
      <w:proofErr w:type="spellStart"/>
      <w:r w:rsidRPr="00345115">
        <w:rPr>
          <w:rFonts w:ascii="Arial" w:hAnsi="Arial" w:cs="Arial"/>
          <w:b/>
          <w:bCs/>
          <w:sz w:val="24"/>
          <w:szCs w:val="24"/>
        </w:rPr>
        <w:t>tests</w:t>
      </w:r>
      <w:proofErr w:type="spellEnd"/>
      <w:r w:rsidRPr="00345115">
        <w:rPr>
          <w:rFonts w:ascii="Arial" w:hAnsi="Arial" w:cs="Arial"/>
          <w:b/>
          <w:bCs/>
          <w:sz w:val="24"/>
          <w:szCs w:val="24"/>
        </w:rPr>
        <w:t xml:space="preserve"> for </w:t>
      </w:r>
      <w:proofErr w:type="spellStart"/>
      <w:r w:rsidRPr="00345115">
        <w:rPr>
          <w:rFonts w:ascii="Arial" w:hAnsi="Arial" w:cs="Arial"/>
          <w:b/>
          <w:bCs/>
          <w:sz w:val="24"/>
          <w:szCs w:val="24"/>
        </w:rPr>
        <w:t>panel</w:t>
      </w:r>
      <w:proofErr w:type="spellEnd"/>
      <w:r w:rsidRPr="00345115">
        <w:rPr>
          <w:rFonts w:ascii="Arial" w:hAnsi="Arial" w:cs="Arial"/>
          <w:b/>
          <w:bCs/>
          <w:sz w:val="24"/>
          <w:szCs w:val="24"/>
        </w:rPr>
        <w:t xml:space="preserve"> data</w:t>
      </w:r>
      <w:r w:rsidRPr="00345115">
        <w:rPr>
          <w:rFonts w:ascii="Arial" w:hAnsi="Arial" w:cs="Arial"/>
          <w:sz w:val="24"/>
          <w:szCs w:val="24"/>
        </w:rPr>
        <w:t xml:space="preserve">. </w:t>
      </w:r>
      <w:proofErr w:type="spellStart"/>
      <w:r w:rsidRPr="00345115">
        <w:rPr>
          <w:rFonts w:ascii="Arial" w:hAnsi="Arial" w:cs="Arial"/>
          <w:sz w:val="24"/>
          <w:szCs w:val="24"/>
        </w:rPr>
        <w:t>Journal</w:t>
      </w:r>
      <w:proofErr w:type="spellEnd"/>
      <w:r w:rsidRPr="00345115">
        <w:rPr>
          <w:rFonts w:ascii="Arial" w:hAnsi="Arial" w:cs="Arial"/>
          <w:sz w:val="24"/>
          <w:szCs w:val="24"/>
        </w:rPr>
        <w:t xml:space="preserve"> of </w:t>
      </w:r>
      <w:proofErr w:type="spellStart"/>
      <w:r w:rsidRPr="00345115">
        <w:rPr>
          <w:rFonts w:ascii="Arial" w:hAnsi="Arial" w:cs="Arial"/>
          <w:sz w:val="24"/>
          <w:szCs w:val="24"/>
        </w:rPr>
        <w:t>International</w:t>
      </w:r>
      <w:proofErr w:type="spellEnd"/>
      <w:r w:rsidRPr="00345115">
        <w:rPr>
          <w:rFonts w:ascii="Arial" w:hAnsi="Arial" w:cs="Arial"/>
          <w:sz w:val="24"/>
          <w:szCs w:val="24"/>
        </w:rPr>
        <w:t xml:space="preserve"> Money </w:t>
      </w:r>
      <w:proofErr w:type="spellStart"/>
      <w:r w:rsidRPr="00345115">
        <w:rPr>
          <w:rFonts w:ascii="Arial" w:hAnsi="Arial" w:cs="Arial"/>
          <w:sz w:val="24"/>
          <w:szCs w:val="24"/>
        </w:rPr>
        <w:t>and</w:t>
      </w:r>
      <w:proofErr w:type="spellEnd"/>
      <w:r w:rsidRPr="00345115">
        <w:rPr>
          <w:rFonts w:ascii="Arial" w:hAnsi="Arial" w:cs="Arial"/>
          <w:sz w:val="24"/>
          <w:szCs w:val="24"/>
        </w:rPr>
        <w:t xml:space="preserve"> </w:t>
      </w:r>
      <w:proofErr w:type="spellStart"/>
      <w:r w:rsidRPr="00345115">
        <w:rPr>
          <w:rFonts w:ascii="Arial" w:hAnsi="Arial" w:cs="Arial"/>
          <w:sz w:val="24"/>
          <w:szCs w:val="24"/>
        </w:rPr>
        <w:t>Finance</w:t>
      </w:r>
      <w:proofErr w:type="spellEnd"/>
      <w:r w:rsidRPr="00345115">
        <w:rPr>
          <w:rFonts w:ascii="Arial" w:hAnsi="Arial" w:cs="Arial"/>
          <w:sz w:val="24"/>
          <w:szCs w:val="24"/>
        </w:rPr>
        <w:t>, v. 20, p. 249–272, 2001.</w:t>
      </w:r>
    </w:p>
    <w:p w14:paraId="074382E6" w14:textId="440163AF" w:rsidR="00DC0F72" w:rsidRDefault="00DC0F72" w:rsidP="00DC0F72">
      <w:pPr>
        <w:autoSpaceDE w:val="0"/>
        <w:autoSpaceDN w:val="0"/>
        <w:adjustRightInd w:val="0"/>
        <w:spacing w:after="0"/>
        <w:jc w:val="both"/>
        <w:rPr>
          <w:rFonts w:ascii="Arial" w:hAnsi="Arial" w:cs="Arial"/>
          <w:sz w:val="24"/>
          <w:szCs w:val="24"/>
        </w:rPr>
      </w:pPr>
      <w:r w:rsidRPr="00345115">
        <w:rPr>
          <w:rFonts w:ascii="Arial" w:hAnsi="Arial" w:cs="Arial"/>
          <w:sz w:val="24"/>
          <w:szCs w:val="24"/>
        </w:rPr>
        <w:t xml:space="preserve">__________. </w:t>
      </w:r>
      <w:proofErr w:type="spellStart"/>
      <w:r w:rsidRPr="00345115">
        <w:rPr>
          <w:rFonts w:ascii="Arial" w:hAnsi="Arial" w:cs="Arial"/>
          <w:b/>
          <w:bCs/>
          <w:sz w:val="24"/>
          <w:szCs w:val="24"/>
        </w:rPr>
        <w:t>An</w:t>
      </w:r>
      <w:proofErr w:type="spellEnd"/>
      <w:r w:rsidRPr="00345115">
        <w:rPr>
          <w:rFonts w:ascii="Arial" w:hAnsi="Arial" w:cs="Arial"/>
          <w:b/>
          <w:bCs/>
          <w:sz w:val="24"/>
          <w:szCs w:val="24"/>
        </w:rPr>
        <w:t xml:space="preserve"> </w:t>
      </w:r>
      <w:proofErr w:type="spellStart"/>
      <w:r w:rsidRPr="00345115">
        <w:rPr>
          <w:rFonts w:ascii="Arial" w:hAnsi="Arial" w:cs="Arial"/>
          <w:b/>
          <w:bCs/>
          <w:sz w:val="24"/>
          <w:szCs w:val="24"/>
        </w:rPr>
        <w:t>examination</w:t>
      </w:r>
      <w:proofErr w:type="spellEnd"/>
      <w:r w:rsidRPr="00345115">
        <w:rPr>
          <w:rFonts w:ascii="Arial" w:hAnsi="Arial" w:cs="Arial"/>
          <w:b/>
          <w:bCs/>
          <w:sz w:val="24"/>
          <w:szCs w:val="24"/>
        </w:rPr>
        <w:t xml:space="preserve"> </w:t>
      </w:r>
      <w:proofErr w:type="spellStart"/>
      <w:r w:rsidRPr="00345115">
        <w:rPr>
          <w:rFonts w:ascii="Arial" w:hAnsi="Arial" w:cs="Arial"/>
          <w:b/>
          <w:bCs/>
          <w:sz w:val="24"/>
          <w:szCs w:val="24"/>
        </w:rPr>
        <w:t>of</w:t>
      </w:r>
      <w:proofErr w:type="spellEnd"/>
      <w:r w:rsidRPr="00345115">
        <w:rPr>
          <w:rFonts w:ascii="Arial" w:hAnsi="Arial" w:cs="Arial"/>
          <w:b/>
          <w:bCs/>
          <w:sz w:val="24"/>
          <w:szCs w:val="24"/>
        </w:rPr>
        <w:t xml:space="preserve"> </w:t>
      </w:r>
      <w:proofErr w:type="spellStart"/>
      <w:r w:rsidRPr="00345115">
        <w:rPr>
          <w:rFonts w:ascii="Arial" w:hAnsi="Arial" w:cs="Arial"/>
          <w:b/>
          <w:bCs/>
          <w:sz w:val="24"/>
          <w:szCs w:val="24"/>
        </w:rPr>
        <w:t>the</w:t>
      </w:r>
      <w:proofErr w:type="spellEnd"/>
      <w:r w:rsidRPr="00345115">
        <w:rPr>
          <w:rFonts w:ascii="Arial" w:hAnsi="Arial" w:cs="Arial"/>
          <w:b/>
          <w:bCs/>
          <w:sz w:val="24"/>
          <w:szCs w:val="24"/>
        </w:rPr>
        <w:t xml:space="preserve"> </w:t>
      </w:r>
      <w:proofErr w:type="spellStart"/>
      <w:r w:rsidRPr="00345115">
        <w:rPr>
          <w:rFonts w:ascii="Arial" w:hAnsi="Arial" w:cs="Arial"/>
          <w:b/>
          <w:bCs/>
          <w:sz w:val="24"/>
          <w:szCs w:val="24"/>
        </w:rPr>
        <w:t>dynamic</w:t>
      </w:r>
      <w:proofErr w:type="spellEnd"/>
      <w:r w:rsidRPr="00345115">
        <w:rPr>
          <w:rFonts w:ascii="Arial" w:hAnsi="Arial" w:cs="Arial"/>
          <w:b/>
          <w:bCs/>
          <w:sz w:val="24"/>
          <w:szCs w:val="24"/>
        </w:rPr>
        <w:t xml:space="preserve"> </w:t>
      </w:r>
      <w:proofErr w:type="spellStart"/>
      <w:r w:rsidRPr="00345115">
        <w:rPr>
          <w:rFonts w:ascii="Arial" w:hAnsi="Arial" w:cs="Arial"/>
          <w:b/>
          <w:bCs/>
          <w:sz w:val="24"/>
          <w:szCs w:val="24"/>
        </w:rPr>
        <w:t>behaviour</w:t>
      </w:r>
      <w:proofErr w:type="spellEnd"/>
      <w:r w:rsidRPr="00345115">
        <w:rPr>
          <w:rFonts w:ascii="Arial" w:hAnsi="Arial" w:cs="Arial"/>
          <w:b/>
          <w:bCs/>
          <w:sz w:val="24"/>
          <w:szCs w:val="24"/>
        </w:rPr>
        <w:t xml:space="preserve"> </w:t>
      </w:r>
      <w:proofErr w:type="spellStart"/>
      <w:r w:rsidRPr="00345115">
        <w:rPr>
          <w:rFonts w:ascii="Arial" w:hAnsi="Arial" w:cs="Arial"/>
          <w:b/>
          <w:bCs/>
          <w:sz w:val="24"/>
          <w:szCs w:val="24"/>
        </w:rPr>
        <w:t>of</w:t>
      </w:r>
      <w:proofErr w:type="spellEnd"/>
      <w:r w:rsidRPr="00345115">
        <w:rPr>
          <w:rFonts w:ascii="Arial" w:hAnsi="Arial" w:cs="Arial"/>
          <w:b/>
          <w:bCs/>
          <w:sz w:val="24"/>
          <w:szCs w:val="24"/>
        </w:rPr>
        <w:t xml:space="preserve"> local </w:t>
      </w:r>
      <w:proofErr w:type="spellStart"/>
      <w:r w:rsidRPr="00345115">
        <w:rPr>
          <w:rFonts w:ascii="Arial" w:hAnsi="Arial" w:cs="Arial"/>
          <w:b/>
          <w:bCs/>
          <w:sz w:val="24"/>
          <w:szCs w:val="24"/>
        </w:rPr>
        <w:t>governments</w:t>
      </w:r>
      <w:proofErr w:type="spellEnd"/>
      <w:r w:rsidRPr="00345115">
        <w:rPr>
          <w:rFonts w:ascii="Arial" w:hAnsi="Arial" w:cs="Arial"/>
          <w:b/>
          <w:bCs/>
          <w:sz w:val="24"/>
          <w:szCs w:val="24"/>
        </w:rPr>
        <w:t xml:space="preserve"> </w:t>
      </w:r>
      <w:proofErr w:type="spellStart"/>
      <w:r w:rsidRPr="00345115">
        <w:rPr>
          <w:rFonts w:ascii="Arial" w:hAnsi="Arial" w:cs="Arial"/>
          <w:b/>
          <w:bCs/>
          <w:sz w:val="24"/>
          <w:szCs w:val="24"/>
        </w:rPr>
        <w:t>using</w:t>
      </w:r>
      <w:proofErr w:type="spellEnd"/>
      <w:r w:rsidRPr="00345115">
        <w:rPr>
          <w:rFonts w:ascii="Arial" w:hAnsi="Arial" w:cs="Arial"/>
          <w:b/>
          <w:bCs/>
          <w:sz w:val="24"/>
          <w:szCs w:val="24"/>
        </w:rPr>
        <w:t xml:space="preserve"> GMM </w:t>
      </w:r>
      <w:proofErr w:type="spellStart"/>
      <w:r w:rsidRPr="00345115">
        <w:rPr>
          <w:rFonts w:ascii="Arial" w:hAnsi="Arial" w:cs="Arial"/>
          <w:b/>
          <w:bCs/>
          <w:sz w:val="24"/>
          <w:szCs w:val="24"/>
        </w:rPr>
        <w:t>Bootstrapping</w:t>
      </w:r>
      <w:proofErr w:type="spellEnd"/>
      <w:r w:rsidRPr="00345115">
        <w:rPr>
          <w:rFonts w:ascii="Arial" w:hAnsi="Arial" w:cs="Arial"/>
          <w:b/>
          <w:bCs/>
          <w:sz w:val="24"/>
          <w:szCs w:val="24"/>
        </w:rPr>
        <w:t xml:space="preserve"> </w:t>
      </w:r>
      <w:proofErr w:type="spellStart"/>
      <w:r w:rsidRPr="00345115">
        <w:rPr>
          <w:rFonts w:ascii="Arial" w:hAnsi="Arial" w:cs="Arial"/>
          <w:b/>
          <w:bCs/>
          <w:sz w:val="24"/>
          <w:szCs w:val="24"/>
        </w:rPr>
        <w:t>methods</w:t>
      </w:r>
      <w:proofErr w:type="spellEnd"/>
      <w:r w:rsidRPr="00345115">
        <w:rPr>
          <w:rFonts w:ascii="Arial" w:hAnsi="Arial" w:cs="Arial"/>
          <w:sz w:val="24"/>
          <w:szCs w:val="24"/>
        </w:rPr>
        <w:t xml:space="preserve">. </w:t>
      </w:r>
      <w:proofErr w:type="spellStart"/>
      <w:r w:rsidRPr="00345115">
        <w:rPr>
          <w:rFonts w:ascii="Arial" w:hAnsi="Arial" w:cs="Arial"/>
          <w:sz w:val="24"/>
          <w:szCs w:val="24"/>
        </w:rPr>
        <w:t>Journal</w:t>
      </w:r>
      <w:proofErr w:type="spellEnd"/>
      <w:r w:rsidRPr="00345115">
        <w:rPr>
          <w:rFonts w:ascii="Arial" w:hAnsi="Arial" w:cs="Arial"/>
          <w:sz w:val="24"/>
          <w:szCs w:val="24"/>
        </w:rPr>
        <w:t xml:space="preserve"> of </w:t>
      </w:r>
      <w:proofErr w:type="spellStart"/>
      <w:r w:rsidRPr="00345115">
        <w:rPr>
          <w:rFonts w:ascii="Arial" w:hAnsi="Arial" w:cs="Arial"/>
          <w:sz w:val="24"/>
          <w:szCs w:val="24"/>
        </w:rPr>
        <w:t>Applied</w:t>
      </w:r>
      <w:proofErr w:type="spellEnd"/>
      <w:r w:rsidRPr="00345115">
        <w:rPr>
          <w:rFonts w:ascii="Arial" w:hAnsi="Arial" w:cs="Arial"/>
          <w:sz w:val="24"/>
          <w:szCs w:val="24"/>
        </w:rPr>
        <w:t xml:space="preserve"> </w:t>
      </w:r>
      <w:proofErr w:type="spellStart"/>
      <w:r w:rsidRPr="00345115">
        <w:rPr>
          <w:rFonts w:ascii="Arial" w:hAnsi="Arial" w:cs="Arial"/>
          <w:sz w:val="24"/>
          <w:szCs w:val="24"/>
        </w:rPr>
        <w:t>Econometrics</w:t>
      </w:r>
      <w:proofErr w:type="spellEnd"/>
      <w:r w:rsidRPr="00345115">
        <w:rPr>
          <w:rFonts w:ascii="Arial" w:hAnsi="Arial" w:cs="Arial"/>
          <w:sz w:val="24"/>
          <w:szCs w:val="24"/>
        </w:rPr>
        <w:t>, v. 15, p. 401-416, 2000.</w:t>
      </w:r>
    </w:p>
    <w:p w14:paraId="0459F7E9" w14:textId="77777777" w:rsidR="00DC0F72" w:rsidRPr="00345115" w:rsidRDefault="00DC0F72" w:rsidP="00DC0F72">
      <w:pPr>
        <w:autoSpaceDE w:val="0"/>
        <w:autoSpaceDN w:val="0"/>
        <w:adjustRightInd w:val="0"/>
        <w:spacing w:after="0"/>
        <w:jc w:val="both"/>
        <w:rPr>
          <w:rFonts w:ascii="Arial" w:hAnsi="Arial" w:cs="Arial"/>
          <w:sz w:val="24"/>
          <w:szCs w:val="24"/>
        </w:rPr>
      </w:pPr>
    </w:p>
    <w:p w14:paraId="284A0B48" w14:textId="77777777" w:rsidR="00882B94" w:rsidRPr="00345115" w:rsidRDefault="00882B94" w:rsidP="00882B94">
      <w:pPr>
        <w:autoSpaceDE w:val="0"/>
        <w:autoSpaceDN w:val="0"/>
        <w:adjustRightInd w:val="0"/>
        <w:spacing w:after="0"/>
        <w:jc w:val="both"/>
        <w:rPr>
          <w:rFonts w:ascii="Arial" w:hAnsi="Arial" w:cs="Arial"/>
          <w:sz w:val="24"/>
          <w:szCs w:val="24"/>
        </w:rPr>
      </w:pPr>
      <w:bookmarkStart w:id="6" w:name="_GoBack"/>
      <w:bookmarkEnd w:id="6"/>
      <w:r w:rsidRPr="00345115">
        <w:rPr>
          <w:rFonts w:ascii="Arial" w:hAnsi="Arial" w:cs="Arial"/>
          <w:sz w:val="24"/>
          <w:szCs w:val="24"/>
        </w:rPr>
        <w:t>CORDES, T., T. KINDA, P. MUTHOORA, AND A. WEBER. 2015</w:t>
      </w:r>
      <w:r w:rsidRPr="00345115">
        <w:rPr>
          <w:rFonts w:ascii="Arial" w:hAnsi="Arial" w:cs="Arial"/>
          <w:b/>
          <w:sz w:val="24"/>
          <w:szCs w:val="24"/>
        </w:rPr>
        <w:t>. “</w:t>
      </w:r>
      <w:proofErr w:type="spellStart"/>
      <w:r w:rsidRPr="00345115">
        <w:rPr>
          <w:rFonts w:ascii="Arial" w:hAnsi="Arial" w:cs="Arial"/>
          <w:b/>
          <w:sz w:val="24"/>
          <w:szCs w:val="24"/>
        </w:rPr>
        <w:t>Expenditure</w:t>
      </w:r>
      <w:proofErr w:type="spellEnd"/>
      <w:r w:rsidRPr="00345115">
        <w:rPr>
          <w:rFonts w:ascii="Arial" w:hAnsi="Arial" w:cs="Arial"/>
          <w:b/>
          <w:sz w:val="24"/>
          <w:szCs w:val="24"/>
        </w:rPr>
        <w:t xml:space="preserve"> </w:t>
      </w:r>
      <w:proofErr w:type="spellStart"/>
      <w:r w:rsidRPr="00345115">
        <w:rPr>
          <w:rFonts w:ascii="Arial" w:hAnsi="Arial" w:cs="Arial"/>
          <w:b/>
          <w:sz w:val="24"/>
          <w:szCs w:val="24"/>
        </w:rPr>
        <w:t>Rules</w:t>
      </w:r>
      <w:proofErr w:type="spellEnd"/>
      <w:r w:rsidRPr="00345115">
        <w:rPr>
          <w:rFonts w:ascii="Arial" w:hAnsi="Arial" w:cs="Arial"/>
          <w:b/>
          <w:sz w:val="24"/>
          <w:szCs w:val="24"/>
        </w:rPr>
        <w:t xml:space="preserve">: </w:t>
      </w:r>
      <w:proofErr w:type="spellStart"/>
      <w:r w:rsidRPr="00345115">
        <w:rPr>
          <w:rFonts w:ascii="Arial" w:hAnsi="Arial" w:cs="Arial"/>
          <w:b/>
          <w:sz w:val="24"/>
          <w:szCs w:val="24"/>
        </w:rPr>
        <w:t>Effective</w:t>
      </w:r>
      <w:proofErr w:type="spellEnd"/>
      <w:r w:rsidRPr="00345115">
        <w:rPr>
          <w:rFonts w:ascii="Arial" w:hAnsi="Arial" w:cs="Arial"/>
          <w:b/>
          <w:sz w:val="24"/>
          <w:szCs w:val="24"/>
        </w:rPr>
        <w:t xml:space="preserve"> Tools for </w:t>
      </w:r>
      <w:proofErr w:type="spellStart"/>
      <w:r w:rsidRPr="00345115">
        <w:rPr>
          <w:rFonts w:ascii="Arial" w:hAnsi="Arial" w:cs="Arial"/>
          <w:b/>
          <w:sz w:val="24"/>
          <w:szCs w:val="24"/>
        </w:rPr>
        <w:t>Sound</w:t>
      </w:r>
      <w:proofErr w:type="spellEnd"/>
      <w:r w:rsidRPr="00345115">
        <w:rPr>
          <w:rFonts w:ascii="Arial" w:hAnsi="Arial" w:cs="Arial"/>
          <w:b/>
          <w:sz w:val="24"/>
          <w:szCs w:val="24"/>
        </w:rPr>
        <w:t xml:space="preserve"> Fiscal </w:t>
      </w:r>
      <w:proofErr w:type="spellStart"/>
      <w:r w:rsidRPr="00345115">
        <w:rPr>
          <w:rFonts w:ascii="Arial" w:hAnsi="Arial" w:cs="Arial"/>
          <w:b/>
          <w:sz w:val="24"/>
          <w:szCs w:val="24"/>
        </w:rPr>
        <w:t>Policy</w:t>
      </w:r>
      <w:proofErr w:type="spellEnd"/>
      <w:r w:rsidRPr="00345115">
        <w:rPr>
          <w:rFonts w:ascii="Arial" w:hAnsi="Arial" w:cs="Arial"/>
          <w:b/>
          <w:sz w:val="24"/>
          <w:szCs w:val="24"/>
        </w:rPr>
        <w:t>.</w:t>
      </w:r>
      <w:r w:rsidRPr="00345115">
        <w:rPr>
          <w:rFonts w:ascii="Arial" w:hAnsi="Arial" w:cs="Arial"/>
          <w:sz w:val="24"/>
          <w:szCs w:val="24"/>
        </w:rPr>
        <w:t xml:space="preserve"> IMF </w:t>
      </w:r>
      <w:proofErr w:type="spellStart"/>
      <w:r w:rsidRPr="00345115">
        <w:rPr>
          <w:rFonts w:ascii="Arial" w:hAnsi="Arial" w:cs="Arial"/>
          <w:sz w:val="24"/>
          <w:szCs w:val="24"/>
        </w:rPr>
        <w:t>Working</w:t>
      </w:r>
      <w:proofErr w:type="spellEnd"/>
      <w:r w:rsidRPr="00345115">
        <w:rPr>
          <w:rFonts w:ascii="Arial" w:hAnsi="Arial" w:cs="Arial"/>
          <w:sz w:val="24"/>
          <w:szCs w:val="24"/>
        </w:rPr>
        <w:t xml:space="preserve"> </w:t>
      </w:r>
      <w:proofErr w:type="spellStart"/>
      <w:r w:rsidRPr="00345115">
        <w:rPr>
          <w:rFonts w:ascii="Arial" w:hAnsi="Arial" w:cs="Arial"/>
          <w:sz w:val="24"/>
          <w:szCs w:val="24"/>
        </w:rPr>
        <w:t>Paper</w:t>
      </w:r>
      <w:proofErr w:type="spellEnd"/>
      <w:r w:rsidRPr="00345115">
        <w:rPr>
          <w:rFonts w:ascii="Arial" w:hAnsi="Arial" w:cs="Arial"/>
          <w:sz w:val="24"/>
          <w:szCs w:val="24"/>
        </w:rPr>
        <w:t xml:space="preserve"> 15/29, </w:t>
      </w:r>
      <w:proofErr w:type="spellStart"/>
      <w:r w:rsidRPr="00345115">
        <w:rPr>
          <w:rFonts w:ascii="Arial" w:hAnsi="Arial" w:cs="Arial"/>
          <w:sz w:val="24"/>
          <w:szCs w:val="24"/>
        </w:rPr>
        <w:t>International</w:t>
      </w:r>
      <w:proofErr w:type="spellEnd"/>
      <w:r w:rsidRPr="00345115">
        <w:rPr>
          <w:rFonts w:ascii="Arial" w:hAnsi="Arial" w:cs="Arial"/>
          <w:sz w:val="24"/>
          <w:szCs w:val="24"/>
        </w:rPr>
        <w:t xml:space="preserve"> </w:t>
      </w:r>
      <w:proofErr w:type="spellStart"/>
      <w:r w:rsidRPr="00345115">
        <w:rPr>
          <w:rFonts w:ascii="Arial" w:hAnsi="Arial" w:cs="Arial"/>
          <w:sz w:val="24"/>
          <w:szCs w:val="24"/>
        </w:rPr>
        <w:t>Monetary</w:t>
      </w:r>
      <w:proofErr w:type="spellEnd"/>
      <w:r w:rsidRPr="00345115">
        <w:rPr>
          <w:rFonts w:ascii="Arial" w:hAnsi="Arial" w:cs="Arial"/>
          <w:sz w:val="24"/>
          <w:szCs w:val="24"/>
        </w:rPr>
        <w:t xml:space="preserve"> </w:t>
      </w:r>
      <w:proofErr w:type="spellStart"/>
      <w:r w:rsidRPr="00345115">
        <w:rPr>
          <w:rFonts w:ascii="Arial" w:hAnsi="Arial" w:cs="Arial"/>
          <w:sz w:val="24"/>
          <w:szCs w:val="24"/>
        </w:rPr>
        <w:t>Fund</w:t>
      </w:r>
      <w:proofErr w:type="spellEnd"/>
      <w:r w:rsidRPr="00345115">
        <w:rPr>
          <w:rFonts w:ascii="Arial" w:hAnsi="Arial" w:cs="Arial"/>
          <w:sz w:val="24"/>
          <w:szCs w:val="24"/>
        </w:rPr>
        <w:t xml:space="preserve"> Washington, DC.</w:t>
      </w:r>
    </w:p>
    <w:p w14:paraId="3B9FA026" w14:textId="77777777" w:rsidR="00882B94" w:rsidRPr="00345115" w:rsidRDefault="00882B94" w:rsidP="00882B94">
      <w:pPr>
        <w:spacing w:after="0" w:line="360" w:lineRule="auto"/>
        <w:ind w:firstLine="709"/>
        <w:jc w:val="both"/>
        <w:rPr>
          <w:rFonts w:ascii="Arial" w:hAnsi="Arial" w:cs="Arial"/>
          <w:b/>
          <w:bCs/>
          <w:sz w:val="24"/>
          <w:szCs w:val="24"/>
        </w:rPr>
      </w:pPr>
    </w:p>
    <w:p w14:paraId="75CFA738" w14:textId="77777777" w:rsidR="00882B94" w:rsidRPr="00345115" w:rsidRDefault="00882B94" w:rsidP="00882B94">
      <w:pPr>
        <w:spacing w:after="0"/>
        <w:jc w:val="both"/>
        <w:rPr>
          <w:rFonts w:ascii="Arial" w:hAnsi="Arial" w:cs="Arial"/>
          <w:sz w:val="24"/>
          <w:szCs w:val="24"/>
        </w:rPr>
      </w:pPr>
      <w:r w:rsidRPr="00345115">
        <w:rPr>
          <w:rFonts w:ascii="Arial" w:hAnsi="Arial" w:cs="Arial"/>
          <w:sz w:val="24"/>
          <w:szCs w:val="24"/>
        </w:rPr>
        <w:t xml:space="preserve">DOTHAN, M., THOMPSON F. </w:t>
      </w:r>
      <w:r w:rsidRPr="00345115">
        <w:rPr>
          <w:rFonts w:ascii="Arial" w:hAnsi="Arial" w:cs="Arial"/>
          <w:b/>
          <w:i/>
          <w:sz w:val="24"/>
          <w:szCs w:val="24"/>
        </w:rPr>
        <w:t xml:space="preserve">A </w:t>
      </w:r>
      <w:proofErr w:type="spellStart"/>
      <w:r w:rsidRPr="00345115">
        <w:rPr>
          <w:rFonts w:ascii="Arial" w:hAnsi="Arial" w:cs="Arial"/>
          <w:b/>
          <w:i/>
          <w:sz w:val="24"/>
          <w:szCs w:val="24"/>
        </w:rPr>
        <w:t>Better</w:t>
      </w:r>
      <w:proofErr w:type="spellEnd"/>
      <w:r w:rsidRPr="00345115">
        <w:rPr>
          <w:rFonts w:ascii="Arial" w:hAnsi="Arial" w:cs="Arial"/>
          <w:b/>
          <w:i/>
          <w:sz w:val="24"/>
          <w:szCs w:val="24"/>
        </w:rPr>
        <w:t xml:space="preserve"> Budget </w:t>
      </w:r>
      <w:proofErr w:type="spellStart"/>
      <w:r w:rsidRPr="00345115">
        <w:rPr>
          <w:rFonts w:ascii="Arial" w:hAnsi="Arial" w:cs="Arial"/>
          <w:b/>
          <w:i/>
          <w:sz w:val="24"/>
          <w:szCs w:val="24"/>
        </w:rPr>
        <w:t>Rule</w:t>
      </w:r>
      <w:proofErr w:type="spellEnd"/>
      <w:r w:rsidRPr="00345115">
        <w:rPr>
          <w:rFonts w:ascii="Arial" w:hAnsi="Arial" w:cs="Arial"/>
          <w:sz w:val="24"/>
          <w:szCs w:val="24"/>
        </w:rPr>
        <w:t xml:space="preserve">. </w:t>
      </w:r>
      <w:proofErr w:type="spellStart"/>
      <w:r w:rsidRPr="00345115">
        <w:rPr>
          <w:rFonts w:ascii="Arial" w:hAnsi="Arial" w:cs="Arial"/>
          <w:sz w:val="24"/>
          <w:szCs w:val="24"/>
        </w:rPr>
        <w:t>Journal</w:t>
      </w:r>
      <w:proofErr w:type="spellEnd"/>
      <w:r w:rsidRPr="00345115">
        <w:rPr>
          <w:rFonts w:ascii="Arial" w:hAnsi="Arial" w:cs="Arial"/>
          <w:sz w:val="24"/>
          <w:szCs w:val="24"/>
        </w:rPr>
        <w:t xml:space="preserve"> of </w:t>
      </w:r>
      <w:proofErr w:type="spellStart"/>
      <w:r w:rsidRPr="00345115">
        <w:rPr>
          <w:rFonts w:ascii="Arial" w:hAnsi="Arial" w:cs="Arial"/>
          <w:sz w:val="24"/>
          <w:szCs w:val="24"/>
        </w:rPr>
        <w:t>Policy</w:t>
      </w:r>
      <w:proofErr w:type="spellEnd"/>
      <w:r w:rsidRPr="00345115">
        <w:rPr>
          <w:rFonts w:ascii="Arial" w:hAnsi="Arial" w:cs="Arial"/>
          <w:sz w:val="24"/>
          <w:szCs w:val="24"/>
        </w:rPr>
        <w:t xml:space="preserve"> </w:t>
      </w:r>
      <w:proofErr w:type="spellStart"/>
      <w:r w:rsidRPr="00345115">
        <w:rPr>
          <w:rFonts w:ascii="Arial" w:hAnsi="Arial" w:cs="Arial"/>
          <w:sz w:val="24"/>
          <w:szCs w:val="24"/>
        </w:rPr>
        <w:t>Analysis</w:t>
      </w:r>
      <w:proofErr w:type="spellEnd"/>
      <w:r w:rsidRPr="00345115">
        <w:rPr>
          <w:rFonts w:ascii="Arial" w:hAnsi="Arial" w:cs="Arial"/>
          <w:sz w:val="24"/>
          <w:szCs w:val="24"/>
        </w:rPr>
        <w:t xml:space="preserve"> and Management, Vol. 28 nº 3, 463–478. 2009.</w:t>
      </w:r>
    </w:p>
    <w:p w14:paraId="3A4F123F" w14:textId="77777777" w:rsidR="00882B94" w:rsidRPr="00345115" w:rsidRDefault="00882B94" w:rsidP="00882B94">
      <w:pPr>
        <w:spacing w:after="0"/>
        <w:jc w:val="both"/>
        <w:rPr>
          <w:rFonts w:ascii="Arial" w:hAnsi="Arial" w:cs="Arial"/>
          <w:sz w:val="24"/>
          <w:szCs w:val="24"/>
        </w:rPr>
      </w:pPr>
    </w:p>
    <w:p w14:paraId="1E9CE593" w14:textId="77777777" w:rsidR="00DC0F72" w:rsidRPr="00345115" w:rsidRDefault="00DC0F72" w:rsidP="00DC0F72">
      <w:pPr>
        <w:autoSpaceDE w:val="0"/>
        <w:autoSpaceDN w:val="0"/>
        <w:adjustRightInd w:val="0"/>
        <w:spacing w:after="0"/>
        <w:jc w:val="both"/>
        <w:rPr>
          <w:rFonts w:ascii="Arial" w:hAnsi="Arial" w:cs="Arial"/>
          <w:sz w:val="24"/>
          <w:szCs w:val="24"/>
        </w:rPr>
      </w:pPr>
      <w:r w:rsidRPr="00345115">
        <w:rPr>
          <w:rFonts w:ascii="Arial" w:hAnsi="Arial" w:cs="Arial"/>
          <w:sz w:val="24"/>
          <w:szCs w:val="24"/>
        </w:rPr>
        <w:t xml:space="preserve">FISHER, R. A. </w:t>
      </w:r>
      <w:proofErr w:type="spellStart"/>
      <w:r w:rsidRPr="00345115">
        <w:rPr>
          <w:rFonts w:ascii="Arial" w:hAnsi="Arial" w:cs="Arial"/>
          <w:b/>
          <w:bCs/>
          <w:sz w:val="24"/>
          <w:szCs w:val="24"/>
        </w:rPr>
        <w:t>Statistical</w:t>
      </w:r>
      <w:proofErr w:type="spellEnd"/>
      <w:r w:rsidRPr="00345115">
        <w:rPr>
          <w:rFonts w:ascii="Arial" w:hAnsi="Arial" w:cs="Arial"/>
          <w:b/>
          <w:bCs/>
          <w:sz w:val="24"/>
          <w:szCs w:val="24"/>
        </w:rPr>
        <w:t xml:space="preserve"> </w:t>
      </w:r>
      <w:proofErr w:type="spellStart"/>
      <w:r w:rsidRPr="00345115">
        <w:rPr>
          <w:rFonts w:ascii="Arial" w:hAnsi="Arial" w:cs="Arial"/>
          <w:b/>
          <w:bCs/>
          <w:sz w:val="24"/>
          <w:szCs w:val="24"/>
        </w:rPr>
        <w:t>methods</w:t>
      </w:r>
      <w:proofErr w:type="spellEnd"/>
      <w:r w:rsidRPr="00345115">
        <w:rPr>
          <w:rFonts w:ascii="Arial" w:hAnsi="Arial" w:cs="Arial"/>
          <w:b/>
          <w:bCs/>
          <w:sz w:val="24"/>
          <w:szCs w:val="24"/>
        </w:rPr>
        <w:t xml:space="preserve"> for </w:t>
      </w:r>
      <w:proofErr w:type="spellStart"/>
      <w:r w:rsidRPr="00345115">
        <w:rPr>
          <w:rFonts w:ascii="Arial" w:hAnsi="Arial" w:cs="Arial"/>
          <w:b/>
          <w:bCs/>
          <w:sz w:val="24"/>
          <w:szCs w:val="24"/>
        </w:rPr>
        <w:t>research</w:t>
      </w:r>
      <w:proofErr w:type="spellEnd"/>
      <w:r w:rsidRPr="00345115">
        <w:rPr>
          <w:rFonts w:ascii="Arial" w:hAnsi="Arial" w:cs="Arial"/>
          <w:b/>
          <w:bCs/>
          <w:sz w:val="24"/>
          <w:szCs w:val="24"/>
        </w:rPr>
        <w:t xml:space="preserve"> </w:t>
      </w:r>
      <w:proofErr w:type="spellStart"/>
      <w:r w:rsidRPr="00345115">
        <w:rPr>
          <w:rFonts w:ascii="Arial" w:hAnsi="Arial" w:cs="Arial"/>
          <w:b/>
          <w:bCs/>
          <w:sz w:val="24"/>
          <w:szCs w:val="24"/>
        </w:rPr>
        <w:t>workers</w:t>
      </w:r>
      <w:proofErr w:type="spellEnd"/>
      <w:r w:rsidRPr="00345115">
        <w:rPr>
          <w:rFonts w:ascii="Arial" w:hAnsi="Arial" w:cs="Arial"/>
          <w:sz w:val="24"/>
          <w:szCs w:val="24"/>
        </w:rPr>
        <w:t xml:space="preserve">, 4th </w:t>
      </w:r>
      <w:proofErr w:type="spellStart"/>
      <w:r w:rsidRPr="00345115">
        <w:rPr>
          <w:rFonts w:ascii="Arial" w:hAnsi="Arial" w:cs="Arial"/>
          <w:sz w:val="24"/>
          <w:szCs w:val="24"/>
        </w:rPr>
        <w:t>edition</w:t>
      </w:r>
      <w:proofErr w:type="spellEnd"/>
      <w:r w:rsidRPr="00345115">
        <w:rPr>
          <w:rFonts w:ascii="Arial" w:hAnsi="Arial" w:cs="Arial"/>
          <w:sz w:val="24"/>
          <w:szCs w:val="24"/>
        </w:rPr>
        <w:t xml:space="preserve">. Oliver &amp; </w:t>
      </w:r>
      <w:proofErr w:type="spellStart"/>
      <w:r w:rsidRPr="00345115">
        <w:rPr>
          <w:rFonts w:ascii="Arial" w:hAnsi="Arial" w:cs="Arial"/>
          <w:sz w:val="24"/>
          <w:szCs w:val="24"/>
        </w:rPr>
        <w:t>Boyd</w:t>
      </w:r>
      <w:proofErr w:type="spellEnd"/>
      <w:r w:rsidRPr="00345115">
        <w:rPr>
          <w:rFonts w:ascii="Arial" w:hAnsi="Arial" w:cs="Arial"/>
          <w:sz w:val="24"/>
          <w:szCs w:val="24"/>
        </w:rPr>
        <w:t>, Edinburgh, 1932.</w:t>
      </w:r>
    </w:p>
    <w:p w14:paraId="067BBAF4" w14:textId="77777777" w:rsidR="00882B94" w:rsidRPr="00345115" w:rsidRDefault="00882B94" w:rsidP="00882B94">
      <w:pPr>
        <w:autoSpaceDE w:val="0"/>
        <w:autoSpaceDN w:val="0"/>
        <w:adjustRightInd w:val="0"/>
        <w:spacing w:after="0"/>
        <w:jc w:val="both"/>
        <w:rPr>
          <w:rFonts w:ascii="Arial" w:hAnsi="Arial" w:cs="Arial"/>
          <w:sz w:val="24"/>
          <w:szCs w:val="24"/>
        </w:rPr>
      </w:pPr>
      <w:r w:rsidRPr="00345115">
        <w:rPr>
          <w:rFonts w:ascii="Arial" w:hAnsi="Arial" w:cs="Arial"/>
          <w:sz w:val="24"/>
          <w:szCs w:val="24"/>
        </w:rPr>
        <w:t xml:space="preserve">Fundo Monetário Internacional. 2009. </w:t>
      </w:r>
      <w:r w:rsidRPr="00345115">
        <w:rPr>
          <w:rFonts w:ascii="Arial" w:hAnsi="Arial" w:cs="Arial"/>
          <w:b/>
          <w:i/>
          <w:sz w:val="24"/>
          <w:szCs w:val="24"/>
        </w:rPr>
        <w:t xml:space="preserve">Fiscal </w:t>
      </w:r>
      <w:proofErr w:type="spellStart"/>
      <w:r w:rsidRPr="00345115">
        <w:rPr>
          <w:rFonts w:ascii="Arial" w:hAnsi="Arial" w:cs="Arial"/>
          <w:b/>
          <w:i/>
          <w:sz w:val="24"/>
          <w:szCs w:val="24"/>
        </w:rPr>
        <w:t>Rules</w:t>
      </w:r>
      <w:proofErr w:type="spellEnd"/>
      <w:r w:rsidRPr="00345115">
        <w:rPr>
          <w:rFonts w:ascii="Arial" w:hAnsi="Arial" w:cs="Arial"/>
          <w:b/>
          <w:i/>
          <w:sz w:val="24"/>
          <w:szCs w:val="24"/>
        </w:rPr>
        <w:t xml:space="preserve"> – </w:t>
      </w:r>
      <w:proofErr w:type="spellStart"/>
      <w:r w:rsidRPr="00345115">
        <w:rPr>
          <w:rFonts w:ascii="Arial" w:hAnsi="Arial" w:cs="Arial"/>
          <w:b/>
          <w:i/>
          <w:sz w:val="24"/>
          <w:szCs w:val="24"/>
        </w:rPr>
        <w:t>Anchoring</w:t>
      </w:r>
      <w:proofErr w:type="spellEnd"/>
      <w:r w:rsidRPr="00345115">
        <w:rPr>
          <w:rFonts w:ascii="Arial" w:hAnsi="Arial" w:cs="Arial"/>
          <w:b/>
          <w:i/>
          <w:sz w:val="24"/>
          <w:szCs w:val="24"/>
        </w:rPr>
        <w:t xml:space="preserve"> </w:t>
      </w:r>
      <w:proofErr w:type="spellStart"/>
      <w:r w:rsidRPr="00345115">
        <w:rPr>
          <w:rFonts w:ascii="Arial" w:hAnsi="Arial" w:cs="Arial"/>
          <w:b/>
          <w:i/>
          <w:sz w:val="24"/>
          <w:szCs w:val="24"/>
        </w:rPr>
        <w:t>Expectations</w:t>
      </w:r>
      <w:proofErr w:type="spellEnd"/>
      <w:r w:rsidRPr="00345115">
        <w:rPr>
          <w:rFonts w:ascii="Arial" w:hAnsi="Arial" w:cs="Arial"/>
          <w:b/>
          <w:i/>
          <w:sz w:val="24"/>
          <w:szCs w:val="24"/>
        </w:rPr>
        <w:t xml:space="preserve"> for </w:t>
      </w:r>
      <w:proofErr w:type="spellStart"/>
      <w:r w:rsidRPr="00345115">
        <w:rPr>
          <w:rFonts w:ascii="Arial" w:hAnsi="Arial" w:cs="Arial"/>
          <w:b/>
          <w:i/>
          <w:sz w:val="24"/>
          <w:szCs w:val="24"/>
        </w:rPr>
        <w:t>Sustainable</w:t>
      </w:r>
      <w:proofErr w:type="spellEnd"/>
      <w:r w:rsidRPr="00345115">
        <w:rPr>
          <w:rFonts w:ascii="Arial" w:hAnsi="Arial" w:cs="Arial"/>
          <w:b/>
          <w:i/>
          <w:sz w:val="24"/>
          <w:szCs w:val="24"/>
        </w:rPr>
        <w:t xml:space="preserve"> </w:t>
      </w:r>
      <w:proofErr w:type="spellStart"/>
      <w:r w:rsidRPr="00345115">
        <w:rPr>
          <w:rFonts w:ascii="Arial" w:hAnsi="Arial" w:cs="Arial"/>
          <w:b/>
          <w:i/>
          <w:sz w:val="24"/>
          <w:szCs w:val="24"/>
        </w:rPr>
        <w:t>Public</w:t>
      </w:r>
      <w:proofErr w:type="spellEnd"/>
      <w:r w:rsidRPr="00345115">
        <w:rPr>
          <w:rFonts w:ascii="Arial" w:hAnsi="Arial" w:cs="Arial"/>
          <w:b/>
          <w:i/>
          <w:sz w:val="24"/>
          <w:szCs w:val="24"/>
        </w:rPr>
        <w:t xml:space="preserve"> </w:t>
      </w:r>
      <w:proofErr w:type="spellStart"/>
      <w:r w:rsidRPr="00345115">
        <w:rPr>
          <w:rFonts w:ascii="Arial" w:hAnsi="Arial" w:cs="Arial"/>
          <w:b/>
          <w:i/>
          <w:sz w:val="24"/>
          <w:szCs w:val="24"/>
        </w:rPr>
        <w:t>Finances</w:t>
      </w:r>
      <w:proofErr w:type="spellEnd"/>
      <w:r w:rsidRPr="00345115">
        <w:rPr>
          <w:rFonts w:ascii="Arial" w:hAnsi="Arial" w:cs="Arial"/>
          <w:sz w:val="24"/>
          <w:szCs w:val="24"/>
        </w:rPr>
        <w:t xml:space="preserve">, IMF </w:t>
      </w:r>
      <w:proofErr w:type="spellStart"/>
      <w:r w:rsidRPr="00345115">
        <w:rPr>
          <w:rFonts w:ascii="Arial" w:hAnsi="Arial" w:cs="Arial"/>
          <w:sz w:val="24"/>
          <w:szCs w:val="24"/>
        </w:rPr>
        <w:t>Policy</w:t>
      </w:r>
      <w:proofErr w:type="spellEnd"/>
      <w:r w:rsidRPr="00345115">
        <w:rPr>
          <w:rFonts w:ascii="Arial" w:hAnsi="Arial" w:cs="Arial"/>
          <w:sz w:val="24"/>
          <w:szCs w:val="24"/>
        </w:rPr>
        <w:t xml:space="preserve"> </w:t>
      </w:r>
      <w:proofErr w:type="spellStart"/>
      <w:r w:rsidRPr="00345115">
        <w:rPr>
          <w:rFonts w:ascii="Arial" w:hAnsi="Arial" w:cs="Arial"/>
          <w:sz w:val="24"/>
          <w:szCs w:val="24"/>
        </w:rPr>
        <w:t>Paper</w:t>
      </w:r>
      <w:proofErr w:type="spellEnd"/>
      <w:r w:rsidRPr="00345115">
        <w:rPr>
          <w:rFonts w:ascii="Arial" w:hAnsi="Arial" w:cs="Arial"/>
          <w:sz w:val="24"/>
          <w:szCs w:val="24"/>
        </w:rPr>
        <w:t xml:space="preserve">, </w:t>
      </w:r>
      <w:proofErr w:type="spellStart"/>
      <w:r w:rsidRPr="00345115">
        <w:rPr>
          <w:rFonts w:ascii="Arial" w:hAnsi="Arial" w:cs="Arial"/>
          <w:sz w:val="24"/>
          <w:szCs w:val="24"/>
        </w:rPr>
        <w:t>International</w:t>
      </w:r>
      <w:proofErr w:type="spellEnd"/>
      <w:r w:rsidRPr="00345115">
        <w:rPr>
          <w:rFonts w:ascii="Arial" w:hAnsi="Arial" w:cs="Arial"/>
          <w:sz w:val="24"/>
          <w:szCs w:val="24"/>
        </w:rPr>
        <w:t xml:space="preserve"> </w:t>
      </w:r>
      <w:proofErr w:type="spellStart"/>
      <w:r w:rsidRPr="00345115">
        <w:rPr>
          <w:rFonts w:ascii="Arial" w:hAnsi="Arial" w:cs="Arial"/>
          <w:sz w:val="24"/>
          <w:szCs w:val="24"/>
        </w:rPr>
        <w:t>Monetary</w:t>
      </w:r>
      <w:proofErr w:type="spellEnd"/>
      <w:r w:rsidRPr="00345115">
        <w:rPr>
          <w:rFonts w:ascii="Arial" w:hAnsi="Arial" w:cs="Arial"/>
          <w:sz w:val="24"/>
          <w:szCs w:val="24"/>
        </w:rPr>
        <w:t xml:space="preserve"> Fund, Washington, DC.</w:t>
      </w:r>
    </w:p>
    <w:p w14:paraId="53BFE1BB" w14:textId="77777777" w:rsidR="00882B94" w:rsidRPr="00345115" w:rsidRDefault="00882B94" w:rsidP="00882B94">
      <w:pPr>
        <w:autoSpaceDE w:val="0"/>
        <w:autoSpaceDN w:val="0"/>
        <w:adjustRightInd w:val="0"/>
        <w:spacing w:after="0"/>
        <w:jc w:val="both"/>
        <w:rPr>
          <w:rFonts w:ascii="Arial" w:hAnsi="Arial" w:cs="Arial"/>
          <w:sz w:val="24"/>
          <w:szCs w:val="24"/>
        </w:rPr>
      </w:pPr>
    </w:p>
    <w:p w14:paraId="03439A87" w14:textId="77777777" w:rsidR="00882B94" w:rsidRPr="00345115" w:rsidRDefault="00882B94" w:rsidP="00882B94">
      <w:pPr>
        <w:autoSpaceDE w:val="0"/>
        <w:autoSpaceDN w:val="0"/>
        <w:adjustRightInd w:val="0"/>
        <w:spacing w:after="0"/>
        <w:jc w:val="both"/>
        <w:rPr>
          <w:rFonts w:ascii="Arial" w:hAnsi="Arial" w:cs="Arial"/>
          <w:sz w:val="24"/>
          <w:szCs w:val="24"/>
        </w:rPr>
      </w:pPr>
      <w:r w:rsidRPr="00345115">
        <w:rPr>
          <w:rFonts w:ascii="Arial" w:hAnsi="Arial" w:cs="Arial"/>
          <w:sz w:val="24"/>
          <w:szCs w:val="24"/>
        </w:rPr>
        <w:t xml:space="preserve">Fundo Monetário Internacional. 2018a. </w:t>
      </w:r>
      <w:proofErr w:type="spellStart"/>
      <w:r w:rsidRPr="00345115">
        <w:rPr>
          <w:rFonts w:ascii="Arial" w:hAnsi="Arial" w:cs="Arial"/>
          <w:b/>
          <w:i/>
          <w:sz w:val="24"/>
          <w:szCs w:val="24"/>
        </w:rPr>
        <w:t>How</w:t>
      </w:r>
      <w:proofErr w:type="spellEnd"/>
      <w:r w:rsidRPr="00345115">
        <w:rPr>
          <w:rFonts w:ascii="Arial" w:hAnsi="Arial" w:cs="Arial"/>
          <w:sz w:val="24"/>
          <w:szCs w:val="24"/>
        </w:rPr>
        <w:t xml:space="preserve"> </w:t>
      </w:r>
      <w:proofErr w:type="spellStart"/>
      <w:r w:rsidRPr="00345115">
        <w:rPr>
          <w:rFonts w:ascii="Arial" w:hAnsi="Arial" w:cs="Arial"/>
          <w:b/>
          <w:i/>
          <w:sz w:val="24"/>
          <w:szCs w:val="24"/>
        </w:rPr>
        <w:t>to</w:t>
      </w:r>
      <w:proofErr w:type="spellEnd"/>
      <w:r w:rsidRPr="00345115">
        <w:rPr>
          <w:rFonts w:ascii="Arial" w:hAnsi="Arial" w:cs="Arial"/>
          <w:b/>
          <w:i/>
          <w:sz w:val="24"/>
          <w:szCs w:val="24"/>
        </w:rPr>
        <w:t xml:space="preserve"> </w:t>
      </w:r>
      <w:proofErr w:type="spellStart"/>
      <w:r w:rsidRPr="00345115">
        <w:rPr>
          <w:rFonts w:ascii="Arial" w:hAnsi="Arial" w:cs="Arial"/>
          <w:b/>
          <w:i/>
          <w:sz w:val="24"/>
          <w:szCs w:val="24"/>
        </w:rPr>
        <w:t>Calibrate</w:t>
      </w:r>
      <w:proofErr w:type="spellEnd"/>
      <w:r w:rsidRPr="00345115">
        <w:rPr>
          <w:rFonts w:ascii="Arial" w:hAnsi="Arial" w:cs="Arial"/>
          <w:b/>
          <w:i/>
          <w:sz w:val="24"/>
          <w:szCs w:val="24"/>
        </w:rPr>
        <w:t xml:space="preserve"> Fiscal </w:t>
      </w:r>
      <w:proofErr w:type="spellStart"/>
      <w:r w:rsidRPr="00345115">
        <w:rPr>
          <w:rFonts w:ascii="Arial" w:hAnsi="Arial" w:cs="Arial"/>
          <w:b/>
          <w:i/>
          <w:sz w:val="24"/>
          <w:szCs w:val="24"/>
        </w:rPr>
        <w:t>Rules</w:t>
      </w:r>
      <w:proofErr w:type="spellEnd"/>
      <w:r w:rsidRPr="00345115">
        <w:rPr>
          <w:rFonts w:ascii="Arial" w:hAnsi="Arial" w:cs="Arial"/>
          <w:b/>
          <w:i/>
          <w:sz w:val="24"/>
          <w:szCs w:val="24"/>
        </w:rPr>
        <w:t>: A Prime</w:t>
      </w:r>
      <w:r w:rsidRPr="00345115">
        <w:rPr>
          <w:rFonts w:ascii="Arial" w:hAnsi="Arial" w:cs="Arial"/>
          <w:i/>
          <w:sz w:val="24"/>
          <w:szCs w:val="24"/>
        </w:rPr>
        <w:t xml:space="preserve">r. </w:t>
      </w:r>
      <w:r w:rsidRPr="00345115">
        <w:rPr>
          <w:rFonts w:ascii="Arial" w:hAnsi="Arial" w:cs="Arial"/>
          <w:sz w:val="24"/>
          <w:szCs w:val="24"/>
        </w:rPr>
        <w:t xml:space="preserve">IMF </w:t>
      </w:r>
      <w:proofErr w:type="spellStart"/>
      <w:r w:rsidRPr="00345115">
        <w:rPr>
          <w:rFonts w:ascii="Arial" w:hAnsi="Arial" w:cs="Arial"/>
          <w:sz w:val="24"/>
          <w:szCs w:val="24"/>
        </w:rPr>
        <w:t>How</w:t>
      </w:r>
      <w:proofErr w:type="spellEnd"/>
      <w:r w:rsidRPr="00345115">
        <w:rPr>
          <w:rFonts w:ascii="Arial" w:hAnsi="Arial" w:cs="Arial"/>
          <w:sz w:val="24"/>
          <w:szCs w:val="24"/>
        </w:rPr>
        <w:t>-</w:t>
      </w:r>
      <w:proofErr w:type="spellStart"/>
      <w:r w:rsidRPr="00345115">
        <w:rPr>
          <w:rFonts w:ascii="Arial" w:hAnsi="Arial" w:cs="Arial"/>
          <w:sz w:val="24"/>
          <w:szCs w:val="24"/>
        </w:rPr>
        <w:t>To</w:t>
      </w:r>
      <w:proofErr w:type="spellEnd"/>
      <w:r w:rsidRPr="00345115">
        <w:rPr>
          <w:rFonts w:ascii="Arial" w:hAnsi="Arial" w:cs="Arial"/>
          <w:sz w:val="24"/>
          <w:szCs w:val="24"/>
        </w:rPr>
        <w:t>-Note, Washington, DC.</w:t>
      </w:r>
    </w:p>
    <w:p w14:paraId="538BED7B" w14:textId="77777777" w:rsidR="00882B94" w:rsidRPr="00345115" w:rsidRDefault="00882B94" w:rsidP="00882B94">
      <w:pPr>
        <w:autoSpaceDE w:val="0"/>
        <w:autoSpaceDN w:val="0"/>
        <w:adjustRightInd w:val="0"/>
        <w:spacing w:after="0"/>
        <w:jc w:val="both"/>
        <w:rPr>
          <w:rFonts w:ascii="Arial" w:hAnsi="Arial" w:cs="Arial"/>
          <w:sz w:val="24"/>
          <w:szCs w:val="24"/>
        </w:rPr>
      </w:pPr>
    </w:p>
    <w:p w14:paraId="3A22699E" w14:textId="77777777" w:rsidR="00882B94" w:rsidRPr="00345115" w:rsidRDefault="00882B94" w:rsidP="00882B94">
      <w:pPr>
        <w:autoSpaceDE w:val="0"/>
        <w:autoSpaceDN w:val="0"/>
        <w:adjustRightInd w:val="0"/>
        <w:spacing w:after="0"/>
        <w:jc w:val="both"/>
        <w:rPr>
          <w:rFonts w:ascii="Arial" w:hAnsi="Arial" w:cs="Arial"/>
          <w:sz w:val="24"/>
          <w:szCs w:val="24"/>
        </w:rPr>
      </w:pPr>
      <w:r w:rsidRPr="00345115">
        <w:rPr>
          <w:rFonts w:ascii="Arial" w:hAnsi="Arial" w:cs="Arial"/>
          <w:sz w:val="24"/>
          <w:szCs w:val="24"/>
        </w:rPr>
        <w:t xml:space="preserve">Fundo Monetário Internacional. 2018b. </w:t>
      </w:r>
      <w:proofErr w:type="spellStart"/>
      <w:r w:rsidRPr="00345115">
        <w:rPr>
          <w:rFonts w:ascii="Arial" w:hAnsi="Arial" w:cs="Arial"/>
          <w:b/>
          <w:i/>
          <w:sz w:val="24"/>
          <w:szCs w:val="24"/>
        </w:rPr>
        <w:t>How</w:t>
      </w:r>
      <w:proofErr w:type="spellEnd"/>
      <w:r w:rsidRPr="00345115">
        <w:rPr>
          <w:rFonts w:ascii="Arial" w:hAnsi="Arial" w:cs="Arial"/>
          <w:sz w:val="24"/>
          <w:szCs w:val="24"/>
        </w:rPr>
        <w:t xml:space="preserve"> </w:t>
      </w:r>
      <w:proofErr w:type="spellStart"/>
      <w:r w:rsidRPr="00345115">
        <w:rPr>
          <w:rFonts w:ascii="Arial" w:hAnsi="Arial" w:cs="Arial"/>
          <w:b/>
          <w:i/>
          <w:sz w:val="24"/>
          <w:szCs w:val="24"/>
        </w:rPr>
        <w:t>to</w:t>
      </w:r>
      <w:proofErr w:type="spellEnd"/>
      <w:r w:rsidRPr="00345115">
        <w:rPr>
          <w:rFonts w:ascii="Arial" w:hAnsi="Arial" w:cs="Arial"/>
          <w:b/>
          <w:i/>
          <w:sz w:val="24"/>
          <w:szCs w:val="24"/>
        </w:rPr>
        <w:t xml:space="preserve"> </w:t>
      </w:r>
      <w:proofErr w:type="spellStart"/>
      <w:r w:rsidRPr="00345115">
        <w:rPr>
          <w:rFonts w:ascii="Arial" w:hAnsi="Arial" w:cs="Arial"/>
          <w:b/>
          <w:i/>
          <w:sz w:val="24"/>
          <w:szCs w:val="24"/>
        </w:rPr>
        <w:t>Select</w:t>
      </w:r>
      <w:proofErr w:type="spellEnd"/>
      <w:r w:rsidRPr="00345115">
        <w:rPr>
          <w:rFonts w:ascii="Arial" w:hAnsi="Arial" w:cs="Arial"/>
          <w:b/>
          <w:i/>
          <w:sz w:val="24"/>
          <w:szCs w:val="24"/>
        </w:rPr>
        <w:t xml:space="preserve"> Fiscal </w:t>
      </w:r>
      <w:proofErr w:type="spellStart"/>
      <w:r w:rsidRPr="00345115">
        <w:rPr>
          <w:rFonts w:ascii="Arial" w:hAnsi="Arial" w:cs="Arial"/>
          <w:b/>
          <w:i/>
          <w:sz w:val="24"/>
          <w:szCs w:val="24"/>
        </w:rPr>
        <w:t>Rules</w:t>
      </w:r>
      <w:proofErr w:type="spellEnd"/>
      <w:r w:rsidRPr="00345115">
        <w:rPr>
          <w:rFonts w:ascii="Arial" w:hAnsi="Arial" w:cs="Arial"/>
          <w:b/>
          <w:i/>
          <w:sz w:val="24"/>
          <w:szCs w:val="24"/>
        </w:rPr>
        <w:t>: A Prime</w:t>
      </w:r>
      <w:r w:rsidRPr="00345115">
        <w:rPr>
          <w:rFonts w:ascii="Arial" w:hAnsi="Arial" w:cs="Arial"/>
          <w:i/>
          <w:sz w:val="24"/>
          <w:szCs w:val="24"/>
        </w:rPr>
        <w:t xml:space="preserve">r. </w:t>
      </w:r>
      <w:r w:rsidRPr="00345115">
        <w:rPr>
          <w:rFonts w:ascii="Arial" w:hAnsi="Arial" w:cs="Arial"/>
          <w:sz w:val="24"/>
          <w:szCs w:val="24"/>
        </w:rPr>
        <w:t xml:space="preserve">IMF </w:t>
      </w:r>
      <w:proofErr w:type="spellStart"/>
      <w:r w:rsidRPr="00345115">
        <w:rPr>
          <w:rFonts w:ascii="Arial" w:hAnsi="Arial" w:cs="Arial"/>
          <w:sz w:val="24"/>
          <w:szCs w:val="24"/>
        </w:rPr>
        <w:t>How</w:t>
      </w:r>
      <w:proofErr w:type="spellEnd"/>
      <w:r w:rsidRPr="00345115">
        <w:rPr>
          <w:rFonts w:ascii="Arial" w:hAnsi="Arial" w:cs="Arial"/>
          <w:sz w:val="24"/>
          <w:szCs w:val="24"/>
        </w:rPr>
        <w:t>-</w:t>
      </w:r>
      <w:proofErr w:type="spellStart"/>
      <w:r w:rsidRPr="00345115">
        <w:rPr>
          <w:rFonts w:ascii="Arial" w:hAnsi="Arial" w:cs="Arial"/>
          <w:sz w:val="24"/>
          <w:szCs w:val="24"/>
        </w:rPr>
        <w:t>To</w:t>
      </w:r>
      <w:proofErr w:type="spellEnd"/>
      <w:r w:rsidRPr="00345115">
        <w:rPr>
          <w:rFonts w:ascii="Arial" w:hAnsi="Arial" w:cs="Arial"/>
          <w:sz w:val="24"/>
          <w:szCs w:val="24"/>
        </w:rPr>
        <w:t>-Note, Washington, DC.</w:t>
      </w:r>
    </w:p>
    <w:p w14:paraId="553AAC63" w14:textId="77777777" w:rsidR="00882B94" w:rsidRPr="00345115" w:rsidRDefault="00882B94" w:rsidP="00882B94">
      <w:pPr>
        <w:autoSpaceDE w:val="0"/>
        <w:autoSpaceDN w:val="0"/>
        <w:adjustRightInd w:val="0"/>
        <w:spacing w:after="0"/>
        <w:jc w:val="both"/>
        <w:rPr>
          <w:rFonts w:ascii="Arial" w:hAnsi="Arial" w:cs="Arial"/>
          <w:sz w:val="24"/>
          <w:szCs w:val="24"/>
        </w:rPr>
      </w:pPr>
    </w:p>
    <w:p w14:paraId="46F43193" w14:textId="77777777" w:rsidR="00882B94" w:rsidRPr="00345115" w:rsidRDefault="00882B94" w:rsidP="00882B94">
      <w:pPr>
        <w:pStyle w:val="Default"/>
        <w:spacing w:line="276" w:lineRule="auto"/>
        <w:jc w:val="both"/>
        <w:rPr>
          <w:rFonts w:ascii="Arial" w:hAnsi="Arial" w:cs="Arial"/>
          <w:color w:val="auto"/>
        </w:rPr>
      </w:pPr>
      <w:r w:rsidRPr="00345115">
        <w:rPr>
          <w:rFonts w:ascii="Arial" w:hAnsi="Arial" w:cs="Arial"/>
          <w:color w:val="auto"/>
        </w:rPr>
        <w:t xml:space="preserve">Fundo Monetário Internacional. 2018c. </w:t>
      </w:r>
      <w:proofErr w:type="spellStart"/>
      <w:r w:rsidRPr="00345115">
        <w:rPr>
          <w:rFonts w:ascii="Arial" w:hAnsi="Arial" w:cs="Arial"/>
          <w:b/>
          <w:i/>
          <w:color w:val="auto"/>
        </w:rPr>
        <w:t>Second-Generation</w:t>
      </w:r>
      <w:proofErr w:type="spellEnd"/>
      <w:r w:rsidRPr="00345115">
        <w:rPr>
          <w:rFonts w:ascii="Arial" w:hAnsi="Arial" w:cs="Arial"/>
          <w:b/>
          <w:i/>
          <w:color w:val="auto"/>
        </w:rPr>
        <w:t xml:space="preserve"> Fiscal </w:t>
      </w:r>
      <w:proofErr w:type="spellStart"/>
      <w:r w:rsidRPr="00345115">
        <w:rPr>
          <w:rFonts w:ascii="Arial" w:hAnsi="Arial" w:cs="Arial"/>
          <w:b/>
          <w:i/>
          <w:color w:val="auto"/>
        </w:rPr>
        <w:t>Rules</w:t>
      </w:r>
      <w:proofErr w:type="spellEnd"/>
      <w:r w:rsidRPr="00345115">
        <w:rPr>
          <w:rFonts w:ascii="Arial" w:hAnsi="Arial" w:cs="Arial"/>
          <w:b/>
          <w:i/>
          <w:color w:val="auto"/>
        </w:rPr>
        <w:t xml:space="preserve">: </w:t>
      </w:r>
      <w:proofErr w:type="spellStart"/>
      <w:r w:rsidRPr="00345115">
        <w:rPr>
          <w:rFonts w:ascii="Arial" w:hAnsi="Arial" w:cs="Arial"/>
          <w:b/>
          <w:i/>
          <w:color w:val="auto"/>
        </w:rPr>
        <w:t>Balancing</w:t>
      </w:r>
      <w:proofErr w:type="spellEnd"/>
      <w:r w:rsidRPr="00345115">
        <w:rPr>
          <w:rFonts w:ascii="Arial" w:hAnsi="Arial" w:cs="Arial"/>
          <w:b/>
          <w:i/>
          <w:color w:val="auto"/>
        </w:rPr>
        <w:t xml:space="preserve"> </w:t>
      </w:r>
      <w:proofErr w:type="spellStart"/>
      <w:r w:rsidRPr="00345115">
        <w:rPr>
          <w:rFonts w:ascii="Arial" w:hAnsi="Arial" w:cs="Arial"/>
          <w:b/>
          <w:i/>
          <w:color w:val="auto"/>
        </w:rPr>
        <w:t>Simplicity</w:t>
      </w:r>
      <w:proofErr w:type="spellEnd"/>
      <w:r w:rsidRPr="00345115">
        <w:rPr>
          <w:rFonts w:ascii="Arial" w:hAnsi="Arial" w:cs="Arial"/>
          <w:b/>
          <w:i/>
          <w:color w:val="auto"/>
        </w:rPr>
        <w:t xml:space="preserve">, </w:t>
      </w:r>
      <w:proofErr w:type="spellStart"/>
      <w:r w:rsidRPr="00345115">
        <w:rPr>
          <w:rFonts w:ascii="Arial" w:hAnsi="Arial" w:cs="Arial"/>
          <w:b/>
          <w:i/>
          <w:color w:val="auto"/>
        </w:rPr>
        <w:t>Flexibility</w:t>
      </w:r>
      <w:proofErr w:type="spellEnd"/>
      <w:r w:rsidRPr="00345115">
        <w:rPr>
          <w:rFonts w:ascii="Arial" w:hAnsi="Arial" w:cs="Arial"/>
          <w:b/>
          <w:i/>
          <w:color w:val="auto"/>
        </w:rPr>
        <w:t xml:space="preserve">, </w:t>
      </w:r>
      <w:proofErr w:type="spellStart"/>
      <w:r w:rsidRPr="00345115">
        <w:rPr>
          <w:rFonts w:ascii="Arial" w:hAnsi="Arial" w:cs="Arial"/>
          <w:b/>
          <w:i/>
          <w:color w:val="auto"/>
        </w:rPr>
        <w:t>and</w:t>
      </w:r>
      <w:proofErr w:type="spellEnd"/>
      <w:r w:rsidRPr="00345115">
        <w:rPr>
          <w:rFonts w:ascii="Arial" w:hAnsi="Arial" w:cs="Arial"/>
          <w:b/>
          <w:i/>
          <w:color w:val="auto"/>
        </w:rPr>
        <w:t xml:space="preserve"> </w:t>
      </w:r>
      <w:proofErr w:type="spellStart"/>
      <w:r w:rsidRPr="00345115">
        <w:rPr>
          <w:rFonts w:ascii="Arial" w:hAnsi="Arial" w:cs="Arial"/>
          <w:b/>
          <w:i/>
          <w:color w:val="auto"/>
        </w:rPr>
        <w:t>Enforceability</w:t>
      </w:r>
      <w:proofErr w:type="spellEnd"/>
      <w:r w:rsidRPr="00345115">
        <w:rPr>
          <w:rFonts w:ascii="Arial" w:hAnsi="Arial" w:cs="Arial"/>
          <w:b/>
          <w:i/>
          <w:color w:val="auto"/>
        </w:rPr>
        <w:t xml:space="preserve"> – </w:t>
      </w:r>
      <w:proofErr w:type="spellStart"/>
      <w:r w:rsidRPr="00345115">
        <w:rPr>
          <w:rFonts w:ascii="Arial" w:hAnsi="Arial" w:cs="Arial"/>
          <w:color w:val="auto"/>
        </w:rPr>
        <w:t>Technical</w:t>
      </w:r>
      <w:proofErr w:type="spellEnd"/>
      <w:r w:rsidRPr="00345115">
        <w:rPr>
          <w:rFonts w:ascii="Arial" w:hAnsi="Arial" w:cs="Arial"/>
          <w:color w:val="auto"/>
        </w:rPr>
        <w:t xml:space="preserve"> Background </w:t>
      </w:r>
      <w:proofErr w:type="spellStart"/>
      <w:r w:rsidRPr="00345115">
        <w:rPr>
          <w:rFonts w:ascii="Arial" w:hAnsi="Arial" w:cs="Arial"/>
          <w:color w:val="auto"/>
        </w:rPr>
        <w:t>Papers</w:t>
      </w:r>
      <w:proofErr w:type="spellEnd"/>
      <w:r w:rsidRPr="00345115">
        <w:rPr>
          <w:rFonts w:ascii="Arial" w:hAnsi="Arial" w:cs="Arial"/>
          <w:color w:val="auto"/>
        </w:rPr>
        <w:t xml:space="preserve">, </w:t>
      </w:r>
      <w:proofErr w:type="spellStart"/>
      <w:r w:rsidRPr="00345115">
        <w:rPr>
          <w:rFonts w:ascii="Arial" w:hAnsi="Arial" w:cs="Arial"/>
          <w:color w:val="auto"/>
        </w:rPr>
        <w:t>Monetary</w:t>
      </w:r>
      <w:proofErr w:type="spellEnd"/>
      <w:r w:rsidRPr="00345115">
        <w:rPr>
          <w:rFonts w:ascii="Arial" w:hAnsi="Arial" w:cs="Arial"/>
          <w:color w:val="auto"/>
        </w:rPr>
        <w:t xml:space="preserve"> Fund, Washington, DC.</w:t>
      </w:r>
    </w:p>
    <w:p w14:paraId="211EA58D" w14:textId="77777777" w:rsidR="00882B94" w:rsidRPr="00345115" w:rsidRDefault="00882B94" w:rsidP="00882B94">
      <w:pPr>
        <w:spacing w:after="0"/>
        <w:ind w:firstLine="709"/>
        <w:jc w:val="both"/>
        <w:rPr>
          <w:rFonts w:ascii="Arial" w:hAnsi="Arial" w:cs="Arial"/>
          <w:sz w:val="24"/>
          <w:szCs w:val="24"/>
        </w:rPr>
      </w:pPr>
    </w:p>
    <w:p w14:paraId="2FC1E133" w14:textId="77777777" w:rsidR="00882B94" w:rsidRPr="00345115" w:rsidRDefault="00882B94" w:rsidP="00882B94">
      <w:pPr>
        <w:spacing w:after="0"/>
        <w:jc w:val="both"/>
        <w:rPr>
          <w:rFonts w:ascii="Arial" w:hAnsi="Arial" w:cs="Arial"/>
          <w:sz w:val="24"/>
          <w:szCs w:val="24"/>
        </w:rPr>
      </w:pPr>
      <w:r w:rsidRPr="00345115">
        <w:rPr>
          <w:rFonts w:ascii="Arial" w:hAnsi="Arial" w:cs="Arial"/>
          <w:sz w:val="24"/>
          <w:szCs w:val="24"/>
        </w:rPr>
        <w:t xml:space="preserve">HAUPTMEIER, S., SANCHEZ-FUENTES, A. J., SCHUKNECHT, L. </w:t>
      </w:r>
      <w:proofErr w:type="spellStart"/>
      <w:r w:rsidRPr="00345115">
        <w:rPr>
          <w:rFonts w:ascii="Arial" w:hAnsi="Arial" w:cs="Arial"/>
          <w:b/>
          <w:i/>
          <w:sz w:val="24"/>
          <w:szCs w:val="24"/>
        </w:rPr>
        <w:t>Towards</w:t>
      </w:r>
      <w:proofErr w:type="spellEnd"/>
      <w:r w:rsidRPr="00345115">
        <w:rPr>
          <w:rFonts w:ascii="Arial" w:hAnsi="Arial" w:cs="Arial"/>
          <w:b/>
          <w:i/>
          <w:sz w:val="24"/>
          <w:szCs w:val="24"/>
        </w:rPr>
        <w:t xml:space="preserve"> </w:t>
      </w:r>
      <w:proofErr w:type="spellStart"/>
      <w:r w:rsidRPr="00345115">
        <w:rPr>
          <w:rFonts w:ascii="Arial" w:hAnsi="Arial" w:cs="Arial"/>
          <w:b/>
          <w:i/>
          <w:sz w:val="24"/>
          <w:szCs w:val="24"/>
        </w:rPr>
        <w:t>Expenditure</w:t>
      </w:r>
      <w:proofErr w:type="spellEnd"/>
      <w:r w:rsidRPr="00345115">
        <w:rPr>
          <w:rFonts w:ascii="Arial" w:hAnsi="Arial" w:cs="Arial"/>
          <w:b/>
          <w:i/>
          <w:sz w:val="24"/>
          <w:szCs w:val="24"/>
        </w:rPr>
        <w:t xml:space="preserve"> </w:t>
      </w:r>
      <w:proofErr w:type="spellStart"/>
      <w:r w:rsidRPr="00345115">
        <w:rPr>
          <w:rFonts w:ascii="Arial" w:hAnsi="Arial" w:cs="Arial"/>
          <w:b/>
          <w:i/>
          <w:sz w:val="24"/>
          <w:szCs w:val="24"/>
        </w:rPr>
        <w:t>rules</w:t>
      </w:r>
      <w:proofErr w:type="spellEnd"/>
      <w:r w:rsidRPr="00345115">
        <w:rPr>
          <w:rFonts w:ascii="Arial" w:hAnsi="Arial" w:cs="Arial"/>
          <w:b/>
          <w:i/>
          <w:sz w:val="24"/>
          <w:szCs w:val="24"/>
        </w:rPr>
        <w:t xml:space="preserve"> </w:t>
      </w:r>
      <w:proofErr w:type="spellStart"/>
      <w:r w:rsidRPr="00345115">
        <w:rPr>
          <w:rFonts w:ascii="Arial" w:hAnsi="Arial" w:cs="Arial"/>
          <w:b/>
          <w:i/>
          <w:sz w:val="24"/>
          <w:szCs w:val="24"/>
        </w:rPr>
        <w:t>and</w:t>
      </w:r>
      <w:proofErr w:type="spellEnd"/>
      <w:r w:rsidRPr="00345115">
        <w:rPr>
          <w:rFonts w:ascii="Arial" w:hAnsi="Arial" w:cs="Arial"/>
          <w:b/>
          <w:i/>
          <w:sz w:val="24"/>
          <w:szCs w:val="24"/>
        </w:rPr>
        <w:t xml:space="preserve"> fiscal </w:t>
      </w:r>
      <w:proofErr w:type="spellStart"/>
      <w:r w:rsidRPr="00345115">
        <w:rPr>
          <w:rFonts w:ascii="Arial" w:hAnsi="Arial" w:cs="Arial"/>
          <w:b/>
          <w:i/>
          <w:sz w:val="24"/>
          <w:szCs w:val="24"/>
        </w:rPr>
        <w:t>sanity</w:t>
      </w:r>
      <w:proofErr w:type="spellEnd"/>
      <w:r w:rsidRPr="00345115">
        <w:rPr>
          <w:rFonts w:ascii="Arial" w:hAnsi="Arial" w:cs="Arial"/>
          <w:b/>
          <w:i/>
          <w:sz w:val="24"/>
          <w:szCs w:val="24"/>
        </w:rPr>
        <w:t xml:space="preserve"> in </w:t>
      </w:r>
      <w:proofErr w:type="spellStart"/>
      <w:r w:rsidRPr="00345115">
        <w:rPr>
          <w:rFonts w:ascii="Arial" w:hAnsi="Arial" w:cs="Arial"/>
          <w:b/>
          <w:i/>
          <w:sz w:val="24"/>
          <w:szCs w:val="24"/>
        </w:rPr>
        <w:t>the</w:t>
      </w:r>
      <w:proofErr w:type="spellEnd"/>
      <w:r w:rsidRPr="00345115">
        <w:rPr>
          <w:rFonts w:ascii="Arial" w:hAnsi="Arial" w:cs="Arial"/>
          <w:b/>
          <w:i/>
          <w:sz w:val="24"/>
          <w:szCs w:val="24"/>
        </w:rPr>
        <w:t xml:space="preserve"> euro </w:t>
      </w:r>
      <w:proofErr w:type="spellStart"/>
      <w:r w:rsidRPr="00345115">
        <w:rPr>
          <w:rFonts w:ascii="Arial" w:hAnsi="Arial" w:cs="Arial"/>
          <w:b/>
          <w:i/>
          <w:sz w:val="24"/>
          <w:szCs w:val="24"/>
        </w:rPr>
        <w:t>area</w:t>
      </w:r>
      <w:proofErr w:type="spellEnd"/>
      <w:r w:rsidRPr="00345115">
        <w:rPr>
          <w:rFonts w:ascii="Arial" w:hAnsi="Arial" w:cs="Arial"/>
          <w:sz w:val="24"/>
          <w:szCs w:val="24"/>
        </w:rPr>
        <w:t xml:space="preserve">. </w:t>
      </w:r>
      <w:proofErr w:type="spellStart"/>
      <w:r w:rsidRPr="00345115">
        <w:rPr>
          <w:rFonts w:ascii="Arial" w:hAnsi="Arial" w:cs="Arial"/>
          <w:sz w:val="24"/>
          <w:szCs w:val="24"/>
        </w:rPr>
        <w:t>Journal</w:t>
      </w:r>
      <w:proofErr w:type="spellEnd"/>
      <w:r w:rsidRPr="00345115">
        <w:rPr>
          <w:rFonts w:ascii="Arial" w:hAnsi="Arial" w:cs="Arial"/>
          <w:sz w:val="24"/>
          <w:szCs w:val="24"/>
        </w:rPr>
        <w:t xml:space="preserve"> of </w:t>
      </w:r>
      <w:proofErr w:type="spellStart"/>
      <w:r w:rsidRPr="00345115">
        <w:rPr>
          <w:rFonts w:ascii="Arial" w:hAnsi="Arial" w:cs="Arial"/>
          <w:sz w:val="24"/>
          <w:szCs w:val="24"/>
        </w:rPr>
        <w:t>Policy</w:t>
      </w:r>
      <w:proofErr w:type="spellEnd"/>
      <w:r w:rsidRPr="00345115">
        <w:rPr>
          <w:rFonts w:ascii="Arial" w:hAnsi="Arial" w:cs="Arial"/>
          <w:sz w:val="24"/>
          <w:szCs w:val="24"/>
        </w:rPr>
        <w:t xml:space="preserve"> </w:t>
      </w:r>
      <w:proofErr w:type="spellStart"/>
      <w:r w:rsidRPr="00345115">
        <w:rPr>
          <w:rFonts w:ascii="Arial" w:hAnsi="Arial" w:cs="Arial"/>
          <w:sz w:val="24"/>
          <w:szCs w:val="24"/>
        </w:rPr>
        <w:t>Modeling</w:t>
      </w:r>
      <w:proofErr w:type="spellEnd"/>
      <w:r w:rsidRPr="00345115">
        <w:rPr>
          <w:rFonts w:ascii="Arial" w:hAnsi="Arial" w:cs="Arial"/>
          <w:sz w:val="24"/>
          <w:szCs w:val="24"/>
        </w:rPr>
        <w:t xml:space="preserve"> 33, 597–617. 2011.</w:t>
      </w:r>
    </w:p>
    <w:p w14:paraId="3BE9263D" w14:textId="77777777" w:rsidR="00882B94" w:rsidRPr="00345115" w:rsidRDefault="00882B94" w:rsidP="00882B94">
      <w:pPr>
        <w:spacing w:after="0"/>
        <w:jc w:val="both"/>
        <w:rPr>
          <w:rFonts w:ascii="Arial" w:hAnsi="Arial" w:cs="Arial"/>
          <w:sz w:val="24"/>
          <w:szCs w:val="24"/>
        </w:rPr>
      </w:pPr>
    </w:p>
    <w:p w14:paraId="56F0A036" w14:textId="77777777" w:rsidR="00DC0F72" w:rsidRPr="00345115" w:rsidRDefault="00DC0F72" w:rsidP="00DC0F72">
      <w:pPr>
        <w:autoSpaceDE w:val="0"/>
        <w:autoSpaceDN w:val="0"/>
        <w:adjustRightInd w:val="0"/>
        <w:spacing w:after="0"/>
        <w:jc w:val="both"/>
        <w:rPr>
          <w:rFonts w:ascii="Arial" w:hAnsi="Arial" w:cs="Arial"/>
          <w:sz w:val="24"/>
          <w:szCs w:val="24"/>
        </w:rPr>
      </w:pPr>
      <w:r w:rsidRPr="00345115">
        <w:rPr>
          <w:rFonts w:ascii="Arial" w:hAnsi="Arial" w:cs="Arial"/>
          <w:sz w:val="24"/>
          <w:szCs w:val="24"/>
        </w:rPr>
        <w:lastRenderedPageBreak/>
        <w:t xml:space="preserve">IM, K. S.; PESARAN, H. M.; SHIN, Y. </w:t>
      </w:r>
      <w:proofErr w:type="spellStart"/>
      <w:r w:rsidRPr="00345115">
        <w:rPr>
          <w:rFonts w:ascii="Arial" w:hAnsi="Arial" w:cs="Arial"/>
          <w:b/>
          <w:bCs/>
          <w:sz w:val="24"/>
          <w:szCs w:val="24"/>
        </w:rPr>
        <w:t>Testing</w:t>
      </w:r>
      <w:proofErr w:type="spellEnd"/>
      <w:r w:rsidRPr="00345115">
        <w:rPr>
          <w:rFonts w:ascii="Arial" w:hAnsi="Arial" w:cs="Arial"/>
          <w:b/>
          <w:bCs/>
          <w:sz w:val="24"/>
          <w:szCs w:val="24"/>
        </w:rPr>
        <w:t xml:space="preserve"> for </w:t>
      </w:r>
      <w:proofErr w:type="spellStart"/>
      <w:r w:rsidRPr="00345115">
        <w:rPr>
          <w:rFonts w:ascii="Arial" w:hAnsi="Arial" w:cs="Arial"/>
          <w:b/>
          <w:bCs/>
          <w:sz w:val="24"/>
          <w:szCs w:val="24"/>
        </w:rPr>
        <w:t>unit</w:t>
      </w:r>
      <w:proofErr w:type="spellEnd"/>
      <w:r w:rsidRPr="00345115">
        <w:rPr>
          <w:rFonts w:ascii="Arial" w:hAnsi="Arial" w:cs="Arial"/>
          <w:b/>
          <w:bCs/>
          <w:sz w:val="24"/>
          <w:szCs w:val="24"/>
        </w:rPr>
        <w:t xml:space="preserve"> roots in </w:t>
      </w:r>
      <w:proofErr w:type="spellStart"/>
      <w:r w:rsidRPr="00345115">
        <w:rPr>
          <w:rFonts w:ascii="Arial" w:hAnsi="Arial" w:cs="Arial"/>
          <w:b/>
          <w:bCs/>
          <w:sz w:val="24"/>
          <w:szCs w:val="24"/>
        </w:rPr>
        <w:t>heterogeneous</w:t>
      </w:r>
      <w:proofErr w:type="spellEnd"/>
      <w:r w:rsidRPr="00345115">
        <w:rPr>
          <w:rFonts w:ascii="Arial" w:hAnsi="Arial" w:cs="Arial"/>
          <w:b/>
          <w:bCs/>
          <w:sz w:val="24"/>
          <w:szCs w:val="24"/>
        </w:rPr>
        <w:t xml:space="preserve"> </w:t>
      </w:r>
      <w:proofErr w:type="spellStart"/>
      <w:r w:rsidRPr="00345115">
        <w:rPr>
          <w:rFonts w:ascii="Arial" w:hAnsi="Arial" w:cs="Arial"/>
          <w:b/>
          <w:bCs/>
          <w:sz w:val="24"/>
          <w:szCs w:val="24"/>
        </w:rPr>
        <w:t>panels</w:t>
      </w:r>
      <w:proofErr w:type="spellEnd"/>
      <w:r w:rsidRPr="00345115">
        <w:rPr>
          <w:rFonts w:ascii="Arial" w:hAnsi="Arial" w:cs="Arial"/>
          <w:sz w:val="24"/>
          <w:szCs w:val="24"/>
        </w:rPr>
        <w:t xml:space="preserve">. </w:t>
      </w:r>
      <w:proofErr w:type="spellStart"/>
      <w:r w:rsidRPr="00345115">
        <w:rPr>
          <w:rFonts w:ascii="Arial" w:hAnsi="Arial" w:cs="Arial"/>
          <w:sz w:val="24"/>
          <w:szCs w:val="24"/>
        </w:rPr>
        <w:t>Journal</w:t>
      </w:r>
      <w:proofErr w:type="spellEnd"/>
      <w:r w:rsidRPr="00345115">
        <w:rPr>
          <w:rFonts w:ascii="Arial" w:hAnsi="Arial" w:cs="Arial"/>
          <w:sz w:val="24"/>
          <w:szCs w:val="24"/>
        </w:rPr>
        <w:t xml:space="preserve"> of </w:t>
      </w:r>
      <w:proofErr w:type="spellStart"/>
      <w:r w:rsidRPr="00345115">
        <w:rPr>
          <w:rFonts w:ascii="Arial" w:hAnsi="Arial" w:cs="Arial"/>
          <w:sz w:val="24"/>
          <w:szCs w:val="24"/>
        </w:rPr>
        <w:t>Econometrics</w:t>
      </w:r>
      <w:proofErr w:type="spellEnd"/>
      <w:r w:rsidRPr="00345115">
        <w:rPr>
          <w:rFonts w:ascii="Arial" w:hAnsi="Arial" w:cs="Arial"/>
          <w:sz w:val="24"/>
          <w:szCs w:val="24"/>
        </w:rPr>
        <w:t>, v. 115, p. 53-74, 2003.</w:t>
      </w:r>
    </w:p>
    <w:p w14:paraId="40C5D8D8" w14:textId="77777777" w:rsidR="00DC0F72" w:rsidRPr="00345115" w:rsidRDefault="00DC0F72" w:rsidP="00DC0F72">
      <w:pPr>
        <w:autoSpaceDE w:val="0"/>
        <w:autoSpaceDN w:val="0"/>
        <w:adjustRightInd w:val="0"/>
        <w:spacing w:after="0"/>
        <w:jc w:val="both"/>
        <w:rPr>
          <w:rFonts w:ascii="Arial" w:hAnsi="Arial" w:cs="Arial"/>
          <w:sz w:val="24"/>
          <w:szCs w:val="24"/>
        </w:rPr>
      </w:pPr>
      <w:r w:rsidRPr="00345115">
        <w:rPr>
          <w:rFonts w:ascii="Arial" w:hAnsi="Arial" w:cs="Arial"/>
          <w:sz w:val="24"/>
          <w:szCs w:val="24"/>
        </w:rPr>
        <w:t xml:space="preserve">LEVIN, A.; LIN, C. F.; CHU, C. S. </w:t>
      </w:r>
      <w:r w:rsidRPr="00345115">
        <w:rPr>
          <w:rFonts w:ascii="Arial" w:hAnsi="Arial" w:cs="Arial"/>
          <w:b/>
          <w:bCs/>
          <w:sz w:val="24"/>
          <w:szCs w:val="24"/>
        </w:rPr>
        <w:t xml:space="preserve">Unit root </w:t>
      </w:r>
      <w:proofErr w:type="spellStart"/>
      <w:r w:rsidRPr="00345115">
        <w:rPr>
          <w:rFonts w:ascii="Arial" w:hAnsi="Arial" w:cs="Arial"/>
          <w:b/>
          <w:bCs/>
          <w:sz w:val="24"/>
          <w:szCs w:val="24"/>
        </w:rPr>
        <w:t>tests</w:t>
      </w:r>
      <w:proofErr w:type="spellEnd"/>
      <w:r w:rsidRPr="00345115">
        <w:rPr>
          <w:rFonts w:ascii="Arial" w:hAnsi="Arial" w:cs="Arial"/>
          <w:b/>
          <w:bCs/>
          <w:sz w:val="24"/>
          <w:szCs w:val="24"/>
        </w:rPr>
        <w:t xml:space="preserve"> in </w:t>
      </w:r>
      <w:proofErr w:type="spellStart"/>
      <w:r w:rsidRPr="00345115">
        <w:rPr>
          <w:rFonts w:ascii="Arial" w:hAnsi="Arial" w:cs="Arial"/>
          <w:b/>
          <w:bCs/>
          <w:sz w:val="24"/>
          <w:szCs w:val="24"/>
        </w:rPr>
        <w:t>panel</w:t>
      </w:r>
      <w:proofErr w:type="spellEnd"/>
      <w:r w:rsidRPr="00345115">
        <w:rPr>
          <w:rFonts w:ascii="Arial" w:hAnsi="Arial" w:cs="Arial"/>
          <w:b/>
          <w:bCs/>
          <w:sz w:val="24"/>
          <w:szCs w:val="24"/>
        </w:rPr>
        <w:t xml:space="preserve"> data: </w:t>
      </w:r>
      <w:proofErr w:type="spellStart"/>
      <w:r w:rsidRPr="00345115">
        <w:rPr>
          <w:rFonts w:ascii="Arial" w:hAnsi="Arial" w:cs="Arial"/>
          <w:b/>
          <w:bCs/>
          <w:sz w:val="24"/>
          <w:szCs w:val="24"/>
        </w:rPr>
        <w:t>asymptotic</w:t>
      </w:r>
      <w:proofErr w:type="spellEnd"/>
      <w:r w:rsidRPr="00345115">
        <w:rPr>
          <w:rFonts w:ascii="Arial" w:hAnsi="Arial" w:cs="Arial"/>
          <w:b/>
          <w:bCs/>
          <w:sz w:val="24"/>
          <w:szCs w:val="24"/>
        </w:rPr>
        <w:t xml:space="preserve"> </w:t>
      </w:r>
      <w:proofErr w:type="spellStart"/>
      <w:r w:rsidRPr="00345115">
        <w:rPr>
          <w:rFonts w:ascii="Arial" w:hAnsi="Arial" w:cs="Arial"/>
          <w:b/>
          <w:bCs/>
          <w:sz w:val="24"/>
          <w:szCs w:val="24"/>
        </w:rPr>
        <w:t>and</w:t>
      </w:r>
      <w:proofErr w:type="spellEnd"/>
      <w:r w:rsidRPr="00345115">
        <w:rPr>
          <w:rFonts w:ascii="Arial" w:hAnsi="Arial" w:cs="Arial"/>
          <w:b/>
          <w:bCs/>
          <w:sz w:val="24"/>
          <w:szCs w:val="24"/>
        </w:rPr>
        <w:t xml:space="preserve"> </w:t>
      </w:r>
      <w:proofErr w:type="spellStart"/>
      <w:r w:rsidRPr="00345115">
        <w:rPr>
          <w:rFonts w:ascii="Arial" w:hAnsi="Arial" w:cs="Arial"/>
          <w:b/>
          <w:bCs/>
          <w:sz w:val="24"/>
          <w:szCs w:val="24"/>
        </w:rPr>
        <w:t>finite</w:t>
      </w:r>
      <w:proofErr w:type="spellEnd"/>
      <w:r w:rsidRPr="00345115">
        <w:rPr>
          <w:rFonts w:ascii="Arial" w:hAnsi="Arial" w:cs="Arial"/>
          <w:b/>
          <w:bCs/>
          <w:sz w:val="24"/>
          <w:szCs w:val="24"/>
        </w:rPr>
        <w:t xml:space="preserve">-sample </w:t>
      </w:r>
      <w:proofErr w:type="spellStart"/>
      <w:r w:rsidRPr="00345115">
        <w:rPr>
          <w:rFonts w:ascii="Arial" w:hAnsi="Arial" w:cs="Arial"/>
          <w:b/>
          <w:bCs/>
          <w:sz w:val="24"/>
          <w:szCs w:val="24"/>
        </w:rPr>
        <w:t>properties</w:t>
      </w:r>
      <w:proofErr w:type="spellEnd"/>
      <w:r w:rsidRPr="00345115">
        <w:rPr>
          <w:rFonts w:ascii="Arial" w:hAnsi="Arial" w:cs="Arial"/>
          <w:b/>
          <w:bCs/>
          <w:sz w:val="24"/>
          <w:szCs w:val="24"/>
        </w:rPr>
        <w:t>.</w:t>
      </w:r>
      <w:r w:rsidRPr="00345115">
        <w:rPr>
          <w:rFonts w:ascii="Arial" w:hAnsi="Arial" w:cs="Arial"/>
          <w:sz w:val="24"/>
          <w:szCs w:val="24"/>
        </w:rPr>
        <w:t xml:space="preserve"> </w:t>
      </w:r>
      <w:proofErr w:type="spellStart"/>
      <w:r w:rsidRPr="00345115">
        <w:rPr>
          <w:rFonts w:ascii="Arial" w:hAnsi="Arial" w:cs="Arial"/>
          <w:sz w:val="24"/>
          <w:szCs w:val="24"/>
        </w:rPr>
        <w:t>Journal</w:t>
      </w:r>
      <w:proofErr w:type="spellEnd"/>
      <w:r w:rsidRPr="00345115">
        <w:rPr>
          <w:rFonts w:ascii="Arial" w:hAnsi="Arial" w:cs="Arial"/>
          <w:sz w:val="24"/>
          <w:szCs w:val="24"/>
        </w:rPr>
        <w:t xml:space="preserve"> </w:t>
      </w:r>
      <w:proofErr w:type="spellStart"/>
      <w:r w:rsidRPr="00345115">
        <w:rPr>
          <w:rFonts w:ascii="Arial" w:hAnsi="Arial" w:cs="Arial"/>
          <w:sz w:val="24"/>
          <w:szCs w:val="24"/>
        </w:rPr>
        <w:t>of</w:t>
      </w:r>
      <w:proofErr w:type="spellEnd"/>
      <w:r w:rsidRPr="00345115">
        <w:rPr>
          <w:rFonts w:ascii="Arial" w:hAnsi="Arial" w:cs="Arial"/>
          <w:sz w:val="24"/>
          <w:szCs w:val="24"/>
        </w:rPr>
        <w:t xml:space="preserve"> </w:t>
      </w:r>
      <w:proofErr w:type="spellStart"/>
      <w:r w:rsidRPr="00345115">
        <w:rPr>
          <w:rFonts w:ascii="Arial" w:hAnsi="Arial" w:cs="Arial"/>
          <w:sz w:val="24"/>
          <w:szCs w:val="24"/>
        </w:rPr>
        <w:t>Econometrics</w:t>
      </w:r>
      <w:proofErr w:type="spellEnd"/>
      <w:r w:rsidRPr="00345115">
        <w:rPr>
          <w:rFonts w:ascii="Arial" w:hAnsi="Arial" w:cs="Arial"/>
          <w:sz w:val="24"/>
          <w:szCs w:val="24"/>
        </w:rPr>
        <w:t>, v. 108, p. 1-24, 2002.</w:t>
      </w:r>
    </w:p>
    <w:p w14:paraId="011C9BC8" w14:textId="77777777" w:rsidR="00DC0F72" w:rsidRPr="00345115" w:rsidRDefault="00DC0F72" w:rsidP="00DC0F72">
      <w:pPr>
        <w:autoSpaceDE w:val="0"/>
        <w:autoSpaceDN w:val="0"/>
        <w:adjustRightInd w:val="0"/>
        <w:spacing w:after="0"/>
        <w:jc w:val="both"/>
        <w:rPr>
          <w:rFonts w:ascii="Arial" w:hAnsi="Arial" w:cs="Arial"/>
          <w:sz w:val="24"/>
          <w:szCs w:val="24"/>
        </w:rPr>
      </w:pPr>
    </w:p>
    <w:p w14:paraId="7A6CBB49" w14:textId="77777777" w:rsidR="00882B94" w:rsidRPr="00345115" w:rsidRDefault="00882B94" w:rsidP="00882B94">
      <w:pPr>
        <w:spacing w:after="0"/>
        <w:jc w:val="both"/>
        <w:rPr>
          <w:rFonts w:ascii="Arial" w:hAnsi="Arial" w:cs="Arial"/>
          <w:sz w:val="24"/>
          <w:szCs w:val="24"/>
        </w:rPr>
      </w:pPr>
      <w:r w:rsidRPr="00345115">
        <w:rPr>
          <w:rFonts w:ascii="Arial" w:hAnsi="Arial" w:cs="Arial"/>
          <w:sz w:val="24"/>
          <w:szCs w:val="24"/>
        </w:rPr>
        <w:t xml:space="preserve">LLEDÓ, V., S. YOON, X. FANG, S. MBAYE, AND Y. KIM. 2017. </w:t>
      </w:r>
      <w:r w:rsidRPr="00345115">
        <w:rPr>
          <w:rFonts w:ascii="Arial" w:hAnsi="Arial" w:cs="Arial"/>
          <w:b/>
          <w:i/>
          <w:sz w:val="24"/>
          <w:szCs w:val="24"/>
        </w:rPr>
        <w:t xml:space="preserve">Fiscal </w:t>
      </w:r>
      <w:proofErr w:type="spellStart"/>
      <w:r w:rsidRPr="00345115">
        <w:rPr>
          <w:rFonts w:ascii="Arial" w:hAnsi="Arial" w:cs="Arial"/>
          <w:b/>
          <w:i/>
          <w:sz w:val="24"/>
          <w:szCs w:val="24"/>
        </w:rPr>
        <w:t>Rules</w:t>
      </w:r>
      <w:proofErr w:type="spellEnd"/>
      <w:r w:rsidRPr="00345115">
        <w:rPr>
          <w:rFonts w:ascii="Arial" w:hAnsi="Arial" w:cs="Arial"/>
          <w:b/>
          <w:i/>
          <w:sz w:val="24"/>
          <w:szCs w:val="24"/>
        </w:rPr>
        <w:t xml:space="preserve"> </w:t>
      </w:r>
      <w:proofErr w:type="spellStart"/>
      <w:r w:rsidRPr="00345115">
        <w:rPr>
          <w:rFonts w:ascii="Arial" w:hAnsi="Arial" w:cs="Arial"/>
          <w:b/>
          <w:i/>
          <w:sz w:val="24"/>
          <w:szCs w:val="24"/>
        </w:rPr>
        <w:t>at</w:t>
      </w:r>
      <w:proofErr w:type="spellEnd"/>
      <w:r w:rsidRPr="00345115">
        <w:rPr>
          <w:rFonts w:ascii="Arial" w:hAnsi="Arial" w:cs="Arial"/>
          <w:b/>
          <w:i/>
          <w:sz w:val="24"/>
          <w:szCs w:val="24"/>
        </w:rPr>
        <w:t xml:space="preserve"> a </w:t>
      </w:r>
      <w:proofErr w:type="spellStart"/>
      <w:r w:rsidRPr="00345115">
        <w:rPr>
          <w:rFonts w:ascii="Arial" w:hAnsi="Arial" w:cs="Arial"/>
          <w:b/>
          <w:i/>
          <w:sz w:val="24"/>
          <w:szCs w:val="24"/>
        </w:rPr>
        <w:t>Glance</w:t>
      </w:r>
      <w:proofErr w:type="spellEnd"/>
      <w:r w:rsidRPr="00345115">
        <w:rPr>
          <w:rFonts w:ascii="Arial" w:hAnsi="Arial" w:cs="Arial"/>
          <w:sz w:val="24"/>
          <w:szCs w:val="24"/>
        </w:rPr>
        <w:t xml:space="preserve">, IMF </w:t>
      </w:r>
      <w:proofErr w:type="spellStart"/>
      <w:r w:rsidRPr="00345115">
        <w:rPr>
          <w:rFonts w:ascii="Arial" w:hAnsi="Arial" w:cs="Arial"/>
          <w:sz w:val="24"/>
          <w:szCs w:val="24"/>
        </w:rPr>
        <w:t>database</w:t>
      </w:r>
      <w:proofErr w:type="spellEnd"/>
      <w:r w:rsidRPr="00345115">
        <w:rPr>
          <w:rFonts w:ascii="Arial" w:hAnsi="Arial" w:cs="Arial"/>
          <w:sz w:val="24"/>
          <w:szCs w:val="24"/>
        </w:rPr>
        <w:t xml:space="preserve"> </w:t>
      </w:r>
      <w:proofErr w:type="spellStart"/>
      <w:r w:rsidRPr="00345115">
        <w:rPr>
          <w:rFonts w:ascii="Arial" w:hAnsi="Arial" w:cs="Arial"/>
          <w:sz w:val="24"/>
          <w:szCs w:val="24"/>
        </w:rPr>
        <w:t>on</w:t>
      </w:r>
      <w:proofErr w:type="spellEnd"/>
      <w:r w:rsidRPr="00345115">
        <w:rPr>
          <w:rFonts w:ascii="Arial" w:hAnsi="Arial" w:cs="Arial"/>
          <w:sz w:val="24"/>
          <w:szCs w:val="24"/>
        </w:rPr>
        <w:t xml:space="preserve"> Fiscal </w:t>
      </w:r>
      <w:proofErr w:type="spellStart"/>
      <w:r w:rsidRPr="00345115">
        <w:rPr>
          <w:rFonts w:ascii="Arial" w:hAnsi="Arial" w:cs="Arial"/>
          <w:sz w:val="24"/>
          <w:szCs w:val="24"/>
        </w:rPr>
        <w:t>Rules</w:t>
      </w:r>
      <w:proofErr w:type="spellEnd"/>
      <w:r w:rsidRPr="00345115">
        <w:rPr>
          <w:rFonts w:ascii="Arial" w:hAnsi="Arial" w:cs="Arial"/>
          <w:sz w:val="24"/>
          <w:szCs w:val="24"/>
        </w:rPr>
        <w:t xml:space="preserve">. </w:t>
      </w:r>
    </w:p>
    <w:p w14:paraId="3859EA83" w14:textId="77777777" w:rsidR="00882B94" w:rsidRPr="00345115" w:rsidRDefault="00882B94" w:rsidP="00882B94">
      <w:pPr>
        <w:spacing w:after="0"/>
        <w:jc w:val="both"/>
        <w:rPr>
          <w:rFonts w:ascii="Arial" w:hAnsi="Arial" w:cs="Arial"/>
          <w:sz w:val="24"/>
          <w:szCs w:val="24"/>
        </w:rPr>
      </w:pPr>
    </w:p>
    <w:p w14:paraId="5BEF1D32" w14:textId="7F3FFB13" w:rsidR="00DC0F72" w:rsidRDefault="00DC0F72" w:rsidP="00DC0F72">
      <w:pPr>
        <w:autoSpaceDE w:val="0"/>
        <w:autoSpaceDN w:val="0"/>
        <w:adjustRightInd w:val="0"/>
        <w:spacing w:after="0"/>
        <w:jc w:val="both"/>
        <w:rPr>
          <w:rFonts w:ascii="Arial" w:hAnsi="Arial" w:cs="Arial"/>
          <w:sz w:val="24"/>
          <w:szCs w:val="24"/>
        </w:rPr>
      </w:pPr>
      <w:r w:rsidRPr="00345115">
        <w:rPr>
          <w:rFonts w:ascii="Arial" w:hAnsi="Arial" w:cs="Arial"/>
          <w:sz w:val="24"/>
          <w:szCs w:val="24"/>
        </w:rPr>
        <w:t xml:space="preserve">MADDALA, G. S.; WU, S. </w:t>
      </w:r>
      <w:r w:rsidRPr="00345115">
        <w:rPr>
          <w:rFonts w:ascii="Arial" w:hAnsi="Arial" w:cs="Arial"/>
          <w:b/>
          <w:bCs/>
          <w:sz w:val="24"/>
          <w:szCs w:val="24"/>
        </w:rPr>
        <w:t xml:space="preserve">A </w:t>
      </w:r>
      <w:proofErr w:type="spellStart"/>
      <w:r w:rsidRPr="00345115">
        <w:rPr>
          <w:rFonts w:ascii="Arial" w:hAnsi="Arial" w:cs="Arial"/>
          <w:b/>
          <w:bCs/>
          <w:sz w:val="24"/>
          <w:szCs w:val="24"/>
        </w:rPr>
        <w:t>Comparative</w:t>
      </w:r>
      <w:proofErr w:type="spellEnd"/>
      <w:r w:rsidRPr="00345115">
        <w:rPr>
          <w:rFonts w:ascii="Arial" w:hAnsi="Arial" w:cs="Arial"/>
          <w:b/>
          <w:bCs/>
          <w:sz w:val="24"/>
          <w:szCs w:val="24"/>
        </w:rPr>
        <w:t xml:space="preserve"> </w:t>
      </w:r>
      <w:proofErr w:type="spellStart"/>
      <w:r w:rsidRPr="00345115">
        <w:rPr>
          <w:rFonts w:ascii="Arial" w:hAnsi="Arial" w:cs="Arial"/>
          <w:b/>
          <w:bCs/>
          <w:sz w:val="24"/>
          <w:szCs w:val="24"/>
        </w:rPr>
        <w:t>study</w:t>
      </w:r>
      <w:proofErr w:type="spellEnd"/>
      <w:r w:rsidRPr="00345115">
        <w:rPr>
          <w:rFonts w:ascii="Arial" w:hAnsi="Arial" w:cs="Arial"/>
          <w:b/>
          <w:bCs/>
          <w:sz w:val="24"/>
          <w:szCs w:val="24"/>
        </w:rPr>
        <w:t xml:space="preserve"> </w:t>
      </w:r>
      <w:proofErr w:type="spellStart"/>
      <w:r w:rsidRPr="00345115">
        <w:rPr>
          <w:rFonts w:ascii="Arial" w:hAnsi="Arial" w:cs="Arial"/>
          <w:b/>
          <w:bCs/>
          <w:sz w:val="24"/>
          <w:szCs w:val="24"/>
        </w:rPr>
        <w:t>of</w:t>
      </w:r>
      <w:proofErr w:type="spellEnd"/>
      <w:r w:rsidRPr="00345115">
        <w:rPr>
          <w:rFonts w:ascii="Arial" w:hAnsi="Arial" w:cs="Arial"/>
          <w:b/>
          <w:bCs/>
          <w:sz w:val="24"/>
          <w:szCs w:val="24"/>
        </w:rPr>
        <w:t xml:space="preserve"> </w:t>
      </w:r>
      <w:proofErr w:type="spellStart"/>
      <w:r w:rsidRPr="00345115">
        <w:rPr>
          <w:rFonts w:ascii="Arial" w:hAnsi="Arial" w:cs="Arial"/>
          <w:b/>
          <w:bCs/>
          <w:sz w:val="24"/>
          <w:szCs w:val="24"/>
        </w:rPr>
        <w:t>unit</w:t>
      </w:r>
      <w:proofErr w:type="spellEnd"/>
      <w:r w:rsidRPr="00345115">
        <w:rPr>
          <w:rFonts w:ascii="Arial" w:hAnsi="Arial" w:cs="Arial"/>
          <w:b/>
          <w:bCs/>
          <w:sz w:val="24"/>
          <w:szCs w:val="24"/>
        </w:rPr>
        <w:t xml:space="preserve"> root </w:t>
      </w:r>
      <w:proofErr w:type="spellStart"/>
      <w:r w:rsidRPr="00345115">
        <w:rPr>
          <w:rFonts w:ascii="Arial" w:hAnsi="Arial" w:cs="Arial"/>
          <w:b/>
          <w:bCs/>
          <w:sz w:val="24"/>
          <w:szCs w:val="24"/>
        </w:rPr>
        <w:t>tests</w:t>
      </w:r>
      <w:proofErr w:type="spellEnd"/>
      <w:r w:rsidRPr="00345115">
        <w:rPr>
          <w:rFonts w:ascii="Arial" w:hAnsi="Arial" w:cs="Arial"/>
          <w:b/>
          <w:bCs/>
          <w:sz w:val="24"/>
          <w:szCs w:val="24"/>
        </w:rPr>
        <w:t xml:space="preserve"> </w:t>
      </w:r>
      <w:proofErr w:type="spellStart"/>
      <w:r w:rsidRPr="00345115">
        <w:rPr>
          <w:rFonts w:ascii="Arial" w:hAnsi="Arial" w:cs="Arial"/>
          <w:b/>
          <w:bCs/>
          <w:sz w:val="24"/>
          <w:szCs w:val="24"/>
        </w:rPr>
        <w:t>with</w:t>
      </w:r>
      <w:proofErr w:type="spellEnd"/>
      <w:r w:rsidRPr="00345115">
        <w:rPr>
          <w:rFonts w:ascii="Arial" w:hAnsi="Arial" w:cs="Arial"/>
          <w:b/>
          <w:bCs/>
          <w:sz w:val="24"/>
          <w:szCs w:val="24"/>
        </w:rPr>
        <w:t xml:space="preserve"> </w:t>
      </w:r>
      <w:proofErr w:type="spellStart"/>
      <w:r w:rsidRPr="00345115">
        <w:rPr>
          <w:rFonts w:ascii="Arial" w:hAnsi="Arial" w:cs="Arial"/>
          <w:b/>
          <w:bCs/>
          <w:sz w:val="24"/>
          <w:szCs w:val="24"/>
        </w:rPr>
        <w:t>panel</w:t>
      </w:r>
      <w:proofErr w:type="spellEnd"/>
      <w:r w:rsidRPr="00345115">
        <w:rPr>
          <w:rFonts w:ascii="Arial" w:hAnsi="Arial" w:cs="Arial"/>
          <w:b/>
          <w:bCs/>
          <w:sz w:val="24"/>
          <w:szCs w:val="24"/>
        </w:rPr>
        <w:t xml:space="preserve"> data </w:t>
      </w:r>
      <w:proofErr w:type="spellStart"/>
      <w:r w:rsidRPr="00345115">
        <w:rPr>
          <w:rFonts w:ascii="Arial" w:hAnsi="Arial" w:cs="Arial"/>
          <w:b/>
          <w:bCs/>
          <w:sz w:val="24"/>
          <w:szCs w:val="24"/>
        </w:rPr>
        <w:t>and</w:t>
      </w:r>
      <w:proofErr w:type="spellEnd"/>
      <w:r w:rsidRPr="00345115">
        <w:rPr>
          <w:rFonts w:ascii="Arial" w:hAnsi="Arial" w:cs="Arial"/>
          <w:b/>
          <w:bCs/>
          <w:sz w:val="24"/>
          <w:szCs w:val="24"/>
        </w:rPr>
        <w:t xml:space="preserve"> a new </w:t>
      </w:r>
      <w:proofErr w:type="spellStart"/>
      <w:r w:rsidRPr="00345115">
        <w:rPr>
          <w:rFonts w:ascii="Arial" w:hAnsi="Arial" w:cs="Arial"/>
          <w:b/>
          <w:bCs/>
          <w:sz w:val="24"/>
          <w:szCs w:val="24"/>
        </w:rPr>
        <w:t>simple</w:t>
      </w:r>
      <w:proofErr w:type="spellEnd"/>
      <w:r w:rsidRPr="00345115">
        <w:rPr>
          <w:rFonts w:ascii="Arial" w:hAnsi="Arial" w:cs="Arial"/>
          <w:b/>
          <w:bCs/>
          <w:sz w:val="24"/>
          <w:szCs w:val="24"/>
        </w:rPr>
        <w:t xml:space="preserve"> test</w:t>
      </w:r>
      <w:r w:rsidRPr="00345115">
        <w:rPr>
          <w:rFonts w:ascii="Arial" w:hAnsi="Arial" w:cs="Arial"/>
          <w:sz w:val="24"/>
          <w:szCs w:val="24"/>
        </w:rPr>
        <w:t xml:space="preserve">. Oxford </w:t>
      </w:r>
      <w:proofErr w:type="spellStart"/>
      <w:r w:rsidRPr="00345115">
        <w:rPr>
          <w:rFonts w:ascii="Arial" w:hAnsi="Arial" w:cs="Arial"/>
          <w:sz w:val="24"/>
          <w:szCs w:val="24"/>
        </w:rPr>
        <w:t>Bulletin</w:t>
      </w:r>
      <w:proofErr w:type="spellEnd"/>
      <w:r w:rsidRPr="00345115">
        <w:rPr>
          <w:rFonts w:ascii="Arial" w:hAnsi="Arial" w:cs="Arial"/>
          <w:sz w:val="24"/>
          <w:szCs w:val="24"/>
        </w:rPr>
        <w:t xml:space="preserve"> </w:t>
      </w:r>
      <w:proofErr w:type="spellStart"/>
      <w:r w:rsidRPr="00345115">
        <w:rPr>
          <w:rFonts w:ascii="Arial" w:hAnsi="Arial" w:cs="Arial"/>
          <w:sz w:val="24"/>
          <w:szCs w:val="24"/>
        </w:rPr>
        <w:t>of</w:t>
      </w:r>
      <w:proofErr w:type="spellEnd"/>
      <w:r w:rsidRPr="00345115">
        <w:rPr>
          <w:rFonts w:ascii="Arial" w:hAnsi="Arial" w:cs="Arial"/>
          <w:sz w:val="24"/>
          <w:szCs w:val="24"/>
        </w:rPr>
        <w:t xml:space="preserve"> </w:t>
      </w:r>
      <w:proofErr w:type="spellStart"/>
      <w:r w:rsidRPr="00345115">
        <w:rPr>
          <w:rFonts w:ascii="Arial" w:hAnsi="Arial" w:cs="Arial"/>
          <w:sz w:val="24"/>
          <w:szCs w:val="24"/>
        </w:rPr>
        <w:t>Economics</w:t>
      </w:r>
      <w:proofErr w:type="spellEnd"/>
      <w:r w:rsidRPr="00345115">
        <w:rPr>
          <w:rFonts w:ascii="Arial" w:hAnsi="Arial" w:cs="Arial"/>
          <w:sz w:val="24"/>
          <w:szCs w:val="24"/>
        </w:rPr>
        <w:t xml:space="preserve"> </w:t>
      </w:r>
      <w:proofErr w:type="spellStart"/>
      <w:r w:rsidRPr="00345115">
        <w:rPr>
          <w:rFonts w:ascii="Arial" w:hAnsi="Arial" w:cs="Arial"/>
          <w:sz w:val="24"/>
          <w:szCs w:val="24"/>
        </w:rPr>
        <w:t>and</w:t>
      </w:r>
      <w:proofErr w:type="spellEnd"/>
      <w:r w:rsidRPr="00345115">
        <w:rPr>
          <w:rFonts w:ascii="Arial" w:hAnsi="Arial" w:cs="Arial"/>
          <w:sz w:val="24"/>
          <w:szCs w:val="24"/>
        </w:rPr>
        <w:t xml:space="preserve"> </w:t>
      </w:r>
      <w:proofErr w:type="spellStart"/>
      <w:r w:rsidRPr="00345115">
        <w:rPr>
          <w:rFonts w:ascii="Arial" w:hAnsi="Arial" w:cs="Arial"/>
          <w:sz w:val="24"/>
          <w:szCs w:val="24"/>
        </w:rPr>
        <w:t>Statistics</w:t>
      </w:r>
      <w:proofErr w:type="spellEnd"/>
      <w:r w:rsidRPr="00345115">
        <w:rPr>
          <w:rFonts w:ascii="Arial" w:hAnsi="Arial" w:cs="Arial"/>
          <w:sz w:val="24"/>
          <w:szCs w:val="24"/>
        </w:rPr>
        <w:t>, v. 61, p. 631-652, 1999.</w:t>
      </w:r>
    </w:p>
    <w:p w14:paraId="54900807" w14:textId="77777777" w:rsidR="00DC0F72" w:rsidRPr="00345115" w:rsidRDefault="00DC0F72" w:rsidP="00DC0F72">
      <w:pPr>
        <w:autoSpaceDE w:val="0"/>
        <w:autoSpaceDN w:val="0"/>
        <w:adjustRightInd w:val="0"/>
        <w:spacing w:after="0"/>
        <w:jc w:val="both"/>
        <w:rPr>
          <w:rFonts w:ascii="Arial" w:hAnsi="Arial" w:cs="Arial"/>
          <w:sz w:val="24"/>
          <w:szCs w:val="24"/>
        </w:rPr>
      </w:pPr>
    </w:p>
    <w:p w14:paraId="0165A975" w14:textId="77777777" w:rsidR="00882B94" w:rsidRPr="00345115" w:rsidRDefault="00882B94" w:rsidP="00882B94">
      <w:pPr>
        <w:spacing w:after="0"/>
        <w:jc w:val="both"/>
        <w:rPr>
          <w:rFonts w:ascii="Arial" w:hAnsi="Arial" w:cs="Arial"/>
          <w:sz w:val="24"/>
          <w:szCs w:val="24"/>
        </w:rPr>
      </w:pPr>
      <w:r w:rsidRPr="00345115">
        <w:rPr>
          <w:rFonts w:ascii="Arial" w:hAnsi="Arial" w:cs="Arial"/>
          <w:sz w:val="24"/>
          <w:szCs w:val="24"/>
        </w:rPr>
        <w:t xml:space="preserve">SERRITZLEW, S. </w:t>
      </w:r>
      <w:r w:rsidRPr="00345115">
        <w:rPr>
          <w:rFonts w:ascii="Arial" w:hAnsi="Arial" w:cs="Arial"/>
          <w:b/>
          <w:i/>
          <w:sz w:val="24"/>
          <w:szCs w:val="24"/>
        </w:rPr>
        <w:t xml:space="preserve">The </w:t>
      </w:r>
      <w:proofErr w:type="spellStart"/>
      <w:r w:rsidRPr="00345115">
        <w:rPr>
          <w:rFonts w:ascii="Arial" w:hAnsi="Arial" w:cs="Arial"/>
          <w:b/>
          <w:i/>
          <w:sz w:val="24"/>
          <w:szCs w:val="24"/>
        </w:rPr>
        <w:t>perverse</w:t>
      </w:r>
      <w:proofErr w:type="spellEnd"/>
      <w:r w:rsidRPr="00345115">
        <w:rPr>
          <w:rFonts w:ascii="Arial" w:hAnsi="Arial" w:cs="Arial"/>
          <w:b/>
          <w:i/>
          <w:sz w:val="24"/>
          <w:szCs w:val="24"/>
        </w:rPr>
        <w:t xml:space="preserve"> </w:t>
      </w:r>
      <w:proofErr w:type="spellStart"/>
      <w:r w:rsidRPr="00345115">
        <w:rPr>
          <w:rFonts w:ascii="Arial" w:hAnsi="Arial" w:cs="Arial"/>
          <w:b/>
          <w:i/>
          <w:sz w:val="24"/>
          <w:szCs w:val="24"/>
        </w:rPr>
        <w:t>effect</w:t>
      </w:r>
      <w:proofErr w:type="spellEnd"/>
      <w:r w:rsidRPr="00345115">
        <w:rPr>
          <w:rFonts w:ascii="Arial" w:hAnsi="Arial" w:cs="Arial"/>
          <w:b/>
          <w:i/>
          <w:sz w:val="24"/>
          <w:szCs w:val="24"/>
        </w:rPr>
        <w:t xml:space="preserve"> </w:t>
      </w:r>
      <w:proofErr w:type="spellStart"/>
      <w:r w:rsidRPr="00345115">
        <w:rPr>
          <w:rFonts w:ascii="Arial" w:hAnsi="Arial" w:cs="Arial"/>
          <w:b/>
          <w:i/>
          <w:sz w:val="24"/>
          <w:szCs w:val="24"/>
        </w:rPr>
        <w:t>of</w:t>
      </w:r>
      <w:proofErr w:type="spellEnd"/>
      <w:r w:rsidRPr="00345115">
        <w:rPr>
          <w:rFonts w:ascii="Arial" w:hAnsi="Arial" w:cs="Arial"/>
          <w:b/>
          <w:i/>
          <w:sz w:val="24"/>
          <w:szCs w:val="24"/>
        </w:rPr>
        <w:t xml:space="preserve"> </w:t>
      </w:r>
      <w:proofErr w:type="spellStart"/>
      <w:r w:rsidRPr="00345115">
        <w:rPr>
          <w:rFonts w:ascii="Arial" w:hAnsi="Arial" w:cs="Arial"/>
          <w:b/>
          <w:i/>
          <w:sz w:val="24"/>
          <w:szCs w:val="24"/>
        </w:rPr>
        <w:t>Spending</w:t>
      </w:r>
      <w:proofErr w:type="spellEnd"/>
      <w:r w:rsidRPr="00345115">
        <w:rPr>
          <w:rFonts w:ascii="Arial" w:hAnsi="Arial" w:cs="Arial"/>
          <w:b/>
          <w:i/>
          <w:sz w:val="24"/>
          <w:szCs w:val="24"/>
        </w:rPr>
        <w:t xml:space="preserve"> Caps</w:t>
      </w:r>
      <w:r w:rsidRPr="00345115">
        <w:rPr>
          <w:rFonts w:ascii="Arial" w:hAnsi="Arial" w:cs="Arial"/>
          <w:sz w:val="24"/>
          <w:szCs w:val="24"/>
        </w:rPr>
        <w:t xml:space="preserve">. </w:t>
      </w:r>
      <w:proofErr w:type="spellStart"/>
      <w:r w:rsidRPr="00345115">
        <w:rPr>
          <w:rFonts w:ascii="Arial" w:hAnsi="Arial" w:cs="Arial"/>
          <w:sz w:val="24"/>
          <w:szCs w:val="24"/>
        </w:rPr>
        <w:t>Journal</w:t>
      </w:r>
      <w:proofErr w:type="spellEnd"/>
      <w:r w:rsidRPr="00345115">
        <w:rPr>
          <w:rFonts w:ascii="Arial" w:hAnsi="Arial" w:cs="Arial"/>
          <w:sz w:val="24"/>
          <w:szCs w:val="24"/>
        </w:rPr>
        <w:t xml:space="preserve"> of </w:t>
      </w:r>
      <w:proofErr w:type="spellStart"/>
      <w:r w:rsidRPr="00345115">
        <w:rPr>
          <w:rFonts w:ascii="Arial" w:hAnsi="Arial" w:cs="Arial"/>
          <w:sz w:val="24"/>
          <w:szCs w:val="24"/>
        </w:rPr>
        <w:t>Theoretical</w:t>
      </w:r>
      <w:proofErr w:type="spellEnd"/>
      <w:r w:rsidRPr="00345115">
        <w:rPr>
          <w:rFonts w:ascii="Arial" w:hAnsi="Arial" w:cs="Arial"/>
          <w:sz w:val="24"/>
          <w:szCs w:val="24"/>
        </w:rPr>
        <w:t xml:space="preserve"> </w:t>
      </w:r>
      <w:proofErr w:type="spellStart"/>
      <w:r w:rsidRPr="00345115">
        <w:rPr>
          <w:rFonts w:ascii="Arial" w:hAnsi="Arial" w:cs="Arial"/>
          <w:sz w:val="24"/>
          <w:szCs w:val="24"/>
        </w:rPr>
        <w:t>Politics</w:t>
      </w:r>
      <w:proofErr w:type="spellEnd"/>
      <w:r w:rsidRPr="00345115">
        <w:rPr>
          <w:rFonts w:ascii="Arial" w:hAnsi="Arial" w:cs="Arial"/>
          <w:sz w:val="24"/>
          <w:szCs w:val="24"/>
        </w:rPr>
        <w:t xml:space="preserve"> 17(1): 75–105. 2005.</w:t>
      </w:r>
    </w:p>
    <w:p w14:paraId="35CB2EED" w14:textId="77777777" w:rsidR="00DC0F72" w:rsidRDefault="00DC0F72" w:rsidP="00345115">
      <w:pPr>
        <w:autoSpaceDE w:val="0"/>
        <w:autoSpaceDN w:val="0"/>
        <w:adjustRightInd w:val="0"/>
        <w:spacing w:after="0"/>
        <w:jc w:val="both"/>
        <w:rPr>
          <w:rFonts w:ascii="Arial" w:hAnsi="Arial" w:cs="Arial"/>
          <w:sz w:val="24"/>
          <w:szCs w:val="24"/>
        </w:rPr>
      </w:pPr>
    </w:p>
    <w:p w14:paraId="2E501CD3" w14:textId="3490E5C3" w:rsidR="00882B94" w:rsidRPr="00345115" w:rsidRDefault="00882B94" w:rsidP="00345115">
      <w:pPr>
        <w:autoSpaceDE w:val="0"/>
        <w:autoSpaceDN w:val="0"/>
        <w:adjustRightInd w:val="0"/>
        <w:spacing w:after="0"/>
        <w:jc w:val="both"/>
        <w:rPr>
          <w:rFonts w:ascii="Arial" w:hAnsi="Arial" w:cs="Arial"/>
          <w:sz w:val="24"/>
          <w:szCs w:val="24"/>
        </w:rPr>
      </w:pPr>
      <w:r w:rsidRPr="00345115">
        <w:rPr>
          <w:rFonts w:ascii="Arial" w:hAnsi="Arial" w:cs="Arial"/>
          <w:sz w:val="24"/>
          <w:szCs w:val="24"/>
        </w:rPr>
        <w:t xml:space="preserve">SMITH, M. </w:t>
      </w:r>
      <w:proofErr w:type="spellStart"/>
      <w:r w:rsidRPr="00345115">
        <w:rPr>
          <w:rFonts w:ascii="Arial" w:hAnsi="Arial" w:cs="Arial"/>
          <w:sz w:val="24"/>
          <w:szCs w:val="24"/>
        </w:rPr>
        <w:t>Demand</w:t>
      </w:r>
      <w:proofErr w:type="spellEnd"/>
      <w:r w:rsidRPr="00345115">
        <w:rPr>
          <w:rFonts w:ascii="Arial" w:hAnsi="Arial" w:cs="Arial"/>
          <w:sz w:val="24"/>
          <w:szCs w:val="24"/>
        </w:rPr>
        <w:t xml:space="preserve">-Led </w:t>
      </w:r>
      <w:proofErr w:type="spellStart"/>
      <w:r w:rsidRPr="00345115">
        <w:rPr>
          <w:rFonts w:ascii="Arial" w:hAnsi="Arial" w:cs="Arial"/>
          <w:sz w:val="24"/>
          <w:szCs w:val="24"/>
        </w:rPr>
        <w:t>Growth</w:t>
      </w:r>
      <w:proofErr w:type="spellEnd"/>
      <w:r w:rsidRPr="00345115">
        <w:rPr>
          <w:rFonts w:ascii="Arial" w:hAnsi="Arial" w:cs="Arial"/>
          <w:sz w:val="24"/>
          <w:szCs w:val="24"/>
        </w:rPr>
        <w:t xml:space="preserve"> </w:t>
      </w:r>
      <w:proofErr w:type="spellStart"/>
      <w:r w:rsidRPr="00345115">
        <w:rPr>
          <w:rFonts w:ascii="Arial" w:hAnsi="Arial" w:cs="Arial"/>
          <w:sz w:val="24"/>
          <w:szCs w:val="24"/>
        </w:rPr>
        <w:t>Theory</w:t>
      </w:r>
      <w:proofErr w:type="spellEnd"/>
      <w:r w:rsidRPr="00345115">
        <w:rPr>
          <w:rFonts w:ascii="Arial" w:hAnsi="Arial" w:cs="Arial"/>
          <w:sz w:val="24"/>
          <w:szCs w:val="24"/>
        </w:rPr>
        <w:t xml:space="preserve">: </w:t>
      </w:r>
      <w:proofErr w:type="spellStart"/>
      <w:r w:rsidRPr="00345115">
        <w:rPr>
          <w:rFonts w:ascii="Arial" w:hAnsi="Arial" w:cs="Arial"/>
          <w:b/>
          <w:bCs/>
          <w:sz w:val="24"/>
          <w:szCs w:val="24"/>
        </w:rPr>
        <w:t>An</w:t>
      </w:r>
      <w:proofErr w:type="spellEnd"/>
      <w:r w:rsidRPr="00345115">
        <w:rPr>
          <w:rFonts w:ascii="Arial" w:hAnsi="Arial" w:cs="Arial"/>
          <w:b/>
          <w:bCs/>
          <w:sz w:val="24"/>
          <w:szCs w:val="24"/>
        </w:rPr>
        <w:t xml:space="preserve"> </w:t>
      </w:r>
      <w:proofErr w:type="spellStart"/>
      <w:r w:rsidRPr="00345115">
        <w:rPr>
          <w:rFonts w:ascii="Arial" w:hAnsi="Arial" w:cs="Arial"/>
          <w:b/>
          <w:bCs/>
          <w:sz w:val="24"/>
          <w:szCs w:val="24"/>
        </w:rPr>
        <w:t>Historical</w:t>
      </w:r>
      <w:proofErr w:type="spellEnd"/>
      <w:r w:rsidRPr="00345115">
        <w:rPr>
          <w:rFonts w:ascii="Arial" w:hAnsi="Arial" w:cs="Arial"/>
          <w:b/>
          <w:bCs/>
          <w:sz w:val="24"/>
          <w:szCs w:val="24"/>
        </w:rPr>
        <w:t xml:space="preserve"> Approach.</w:t>
      </w:r>
      <w:r w:rsidRPr="00345115">
        <w:rPr>
          <w:rFonts w:ascii="Arial" w:hAnsi="Arial" w:cs="Arial"/>
          <w:sz w:val="24"/>
          <w:szCs w:val="24"/>
        </w:rPr>
        <w:t xml:space="preserve"> Sidney: [s.n.]. Disponível em: &lt;http://ses.library.usyd.edu.au/</w:t>
      </w:r>
      <w:proofErr w:type="spellStart"/>
      <w:r w:rsidRPr="00345115">
        <w:rPr>
          <w:rFonts w:ascii="Arial" w:hAnsi="Arial" w:cs="Arial"/>
          <w:sz w:val="24"/>
          <w:szCs w:val="24"/>
        </w:rPr>
        <w:t>handle</w:t>
      </w:r>
      <w:proofErr w:type="spellEnd"/>
      <w:r w:rsidRPr="00345115">
        <w:rPr>
          <w:rFonts w:ascii="Arial" w:hAnsi="Arial" w:cs="Arial"/>
          <w:sz w:val="24"/>
          <w:szCs w:val="24"/>
        </w:rPr>
        <w:t>/2123/7214&gt;.</w:t>
      </w:r>
    </w:p>
    <w:p w14:paraId="1AB6352B" w14:textId="77777777" w:rsidR="00882B94" w:rsidRPr="00345115" w:rsidRDefault="00882B94" w:rsidP="00345115">
      <w:pPr>
        <w:autoSpaceDE w:val="0"/>
        <w:autoSpaceDN w:val="0"/>
        <w:adjustRightInd w:val="0"/>
        <w:spacing w:after="0"/>
        <w:jc w:val="both"/>
        <w:rPr>
          <w:rFonts w:ascii="Arial" w:hAnsi="Arial" w:cs="Arial"/>
          <w:sz w:val="24"/>
          <w:szCs w:val="24"/>
        </w:rPr>
      </w:pPr>
    </w:p>
    <w:p w14:paraId="683F5E70" w14:textId="77777777" w:rsidR="00B810AE" w:rsidRPr="00345115" w:rsidRDefault="00B810AE" w:rsidP="00345115">
      <w:pPr>
        <w:autoSpaceDE w:val="0"/>
        <w:autoSpaceDN w:val="0"/>
        <w:adjustRightInd w:val="0"/>
        <w:spacing w:after="0"/>
        <w:jc w:val="both"/>
        <w:rPr>
          <w:rFonts w:ascii="Arial" w:hAnsi="Arial" w:cs="Arial"/>
          <w:sz w:val="24"/>
          <w:szCs w:val="24"/>
        </w:rPr>
      </w:pPr>
    </w:p>
    <w:p w14:paraId="4FFE82AC" w14:textId="77777777" w:rsidR="00B810AE" w:rsidRPr="00345115" w:rsidRDefault="00B810AE" w:rsidP="00345115">
      <w:pPr>
        <w:autoSpaceDE w:val="0"/>
        <w:autoSpaceDN w:val="0"/>
        <w:adjustRightInd w:val="0"/>
        <w:spacing w:after="0"/>
        <w:jc w:val="both"/>
        <w:rPr>
          <w:rFonts w:ascii="Arial" w:hAnsi="Arial" w:cs="Arial"/>
          <w:sz w:val="24"/>
          <w:szCs w:val="24"/>
        </w:rPr>
      </w:pPr>
    </w:p>
    <w:sectPr w:rsidR="00B810AE" w:rsidRPr="00345115">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7E946" w14:textId="77777777" w:rsidR="00452EE8" w:rsidRDefault="00452EE8" w:rsidP="00CE1920">
      <w:pPr>
        <w:spacing w:after="0" w:line="240" w:lineRule="auto"/>
      </w:pPr>
      <w:r>
        <w:separator/>
      </w:r>
    </w:p>
  </w:endnote>
  <w:endnote w:type="continuationSeparator" w:id="0">
    <w:p w14:paraId="41D1B7D8" w14:textId="77777777" w:rsidR="00452EE8" w:rsidRDefault="00452EE8" w:rsidP="00CE1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8686C" w14:textId="77777777" w:rsidR="00F475A3" w:rsidRDefault="00F475A3">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94282" w14:textId="77777777" w:rsidR="00F475A3" w:rsidRDefault="00F475A3">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DFC7F" w14:textId="77777777" w:rsidR="00F475A3" w:rsidRDefault="00F475A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F1364" w14:textId="77777777" w:rsidR="00452EE8" w:rsidRDefault="00452EE8" w:rsidP="00CE1920">
      <w:pPr>
        <w:spacing w:after="0" w:line="240" w:lineRule="auto"/>
      </w:pPr>
      <w:r>
        <w:separator/>
      </w:r>
    </w:p>
  </w:footnote>
  <w:footnote w:type="continuationSeparator" w:id="0">
    <w:p w14:paraId="185AFCCB" w14:textId="77777777" w:rsidR="00452EE8" w:rsidRDefault="00452EE8" w:rsidP="00CE1920">
      <w:pPr>
        <w:spacing w:after="0" w:line="240" w:lineRule="auto"/>
      </w:pPr>
      <w:r>
        <w:continuationSeparator/>
      </w:r>
    </w:p>
  </w:footnote>
  <w:footnote w:id="1">
    <w:p w14:paraId="6A359DDB" w14:textId="77777777" w:rsidR="00F475A3" w:rsidRDefault="00F475A3" w:rsidP="00B406F3">
      <w:pPr>
        <w:pStyle w:val="Textodenotaderodap"/>
        <w:jc w:val="both"/>
      </w:pPr>
      <w:r>
        <w:rPr>
          <w:rStyle w:val="Refdenotaderodap"/>
        </w:rPr>
        <w:footnoteRef/>
      </w:r>
      <w:r>
        <w:t xml:space="preserve"> </w:t>
      </w:r>
      <w:r w:rsidRPr="00CD16A6">
        <w:rPr>
          <w:rFonts w:ascii="Arial" w:hAnsi="Arial" w:cs="Arial"/>
          <w:color w:val="000000" w:themeColor="text1"/>
          <w:sz w:val="18"/>
          <w:szCs w:val="21"/>
          <w:shd w:val="clear" w:color="auto" w:fill="FFFFFF"/>
        </w:rPr>
        <w:t>Uma série temporal é dita estacionária quando se desenvolve no tempo aleatoriamente ao redor de uma média constante, refletindo alguma forma de equilíbrio estável.</w:t>
      </w:r>
      <w:r>
        <w:rPr>
          <w:rFonts w:ascii="Arial" w:hAnsi="Arial" w:cs="Arial"/>
          <w:color w:val="000000" w:themeColor="text1"/>
          <w:sz w:val="18"/>
          <w:szCs w:val="21"/>
          <w:shd w:val="clear" w:color="auto" w:fill="FFFFFF"/>
        </w:rPr>
        <w:t xml:space="preserve"> Sua distribuição de probabilidades conjunta e condicional não varia em relação ao movimento do tempo. Formalmente, um processo estocástico (série temporal) é estacionário</w:t>
      </w:r>
      <w:r w:rsidRPr="00CD16A6">
        <w:rPr>
          <w:rFonts w:ascii="Arial" w:hAnsi="Arial" w:cs="Arial"/>
          <w:color w:val="000000" w:themeColor="text1"/>
          <w:sz w:val="18"/>
          <w:szCs w:val="21"/>
          <w:shd w:val="clear" w:color="auto" w:fill="FFFFFF"/>
        </w:rPr>
        <w:t xml:space="preserve"> </w:t>
      </w:r>
      <w:r>
        <w:rPr>
          <w:rFonts w:ascii="Arial" w:hAnsi="Arial" w:cs="Arial"/>
          <w:color w:val="000000" w:themeColor="text1"/>
          <w:sz w:val="18"/>
          <w:szCs w:val="21"/>
          <w:shd w:val="clear" w:color="auto" w:fill="FFFFFF"/>
        </w:rPr>
        <w:t xml:space="preserve">quando a sua média e a sua variância são constantes ao longo do tempo, e quando o valor da covariância entre os dois períodos de tempo depende apenas da distância, do intervalo ou da defasagem entre os dois períodos de tempo, e não do próprio tempo em que a covariância é calculada (GUJARATI, 2006, p. 639). </w:t>
      </w:r>
      <w:r w:rsidRPr="00CD16A6">
        <w:rPr>
          <w:rFonts w:ascii="Arial" w:hAnsi="Arial" w:cs="Arial"/>
          <w:color w:val="000000" w:themeColor="text1"/>
          <w:sz w:val="18"/>
          <w:szCs w:val="21"/>
          <w:shd w:val="clear" w:color="auto" w:fill="FFFFFF"/>
        </w:rPr>
        <w:t xml:space="preserve">Na prática, a maioria das séries </w:t>
      </w:r>
      <w:r>
        <w:rPr>
          <w:rFonts w:ascii="Arial" w:hAnsi="Arial" w:cs="Arial"/>
          <w:color w:val="000000" w:themeColor="text1"/>
          <w:sz w:val="18"/>
          <w:szCs w:val="21"/>
          <w:shd w:val="clear" w:color="auto" w:fill="FFFFFF"/>
        </w:rPr>
        <w:t xml:space="preserve">temporais </w:t>
      </w:r>
      <w:r w:rsidRPr="00CD16A6">
        <w:rPr>
          <w:rFonts w:ascii="Arial" w:hAnsi="Arial" w:cs="Arial"/>
          <w:color w:val="000000" w:themeColor="text1"/>
          <w:sz w:val="18"/>
          <w:szCs w:val="21"/>
          <w:shd w:val="clear" w:color="auto" w:fill="FFFFFF"/>
        </w:rPr>
        <w:t>que existem apresentam algum tipo de não estacionariedade, por exemplo, tendência (determinística ou estocástica).</w:t>
      </w:r>
      <w:r>
        <w:rPr>
          <w:rFonts w:ascii="Arial" w:hAnsi="Arial" w:cs="Arial"/>
          <w:color w:val="000000" w:themeColor="text1"/>
          <w:sz w:val="18"/>
          <w:szCs w:val="21"/>
          <w:shd w:val="clear" w:color="auto" w:fill="FFFFFF"/>
        </w:rPr>
        <w:t xml:space="preserve"> Em geral, se uma série temporal não estacionária tem de ser diferenciada </w:t>
      </w:r>
      <w:proofErr w:type="gramStart"/>
      <w:r w:rsidRPr="009908EA">
        <w:rPr>
          <w:rFonts w:ascii="Arial" w:hAnsi="Arial" w:cs="Arial"/>
          <w:i/>
          <w:color w:val="000000" w:themeColor="text1"/>
          <w:sz w:val="18"/>
          <w:szCs w:val="21"/>
          <w:shd w:val="clear" w:color="auto" w:fill="FFFFFF"/>
        </w:rPr>
        <w:t>d</w:t>
      </w:r>
      <w:proofErr w:type="gramEnd"/>
      <w:r>
        <w:rPr>
          <w:rFonts w:ascii="Arial" w:hAnsi="Arial" w:cs="Arial"/>
          <w:color w:val="000000" w:themeColor="text1"/>
          <w:sz w:val="18"/>
          <w:szCs w:val="21"/>
          <w:shd w:val="clear" w:color="auto" w:fill="FFFFFF"/>
        </w:rPr>
        <w:t xml:space="preserve"> vezes para se tornar estacionária, então essa série é “integrada de ordem </w:t>
      </w:r>
      <w:r w:rsidRPr="009908EA">
        <w:rPr>
          <w:rFonts w:ascii="Arial" w:hAnsi="Arial" w:cs="Arial"/>
          <w:i/>
          <w:color w:val="000000" w:themeColor="text1"/>
          <w:sz w:val="18"/>
          <w:szCs w:val="21"/>
          <w:shd w:val="clear" w:color="auto" w:fill="FFFFFF"/>
        </w:rPr>
        <w:t>d</w:t>
      </w:r>
      <w:r>
        <w:rPr>
          <w:rFonts w:ascii="Arial" w:hAnsi="Arial" w:cs="Arial"/>
          <w:color w:val="000000" w:themeColor="text1"/>
          <w:sz w:val="18"/>
          <w:szCs w:val="21"/>
          <w:shd w:val="clear" w:color="auto" w:fill="FFFFFF"/>
        </w:rPr>
        <w:t xml:space="preserve">”, e se denota por </w:t>
      </w:r>
      <m:oMath>
        <m:sSub>
          <m:sSubPr>
            <m:ctrlPr>
              <w:rPr>
                <w:rFonts w:ascii="Cambria Math" w:hAnsi="Cambria Math" w:cs="Arial"/>
                <w:i/>
                <w:color w:val="000000" w:themeColor="text1"/>
                <w:sz w:val="18"/>
                <w:szCs w:val="21"/>
                <w:shd w:val="clear" w:color="auto" w:fill="FFFFFF"/>
              </w:rPr>
            </m:ctrlPr>
          </m:sSubPr>
          <m:e>
            <m:r>
              <w:rPr>
                <w:rFonts w:ascii="Cambria Math" w:hAnsi="Cambria Math" w:cs="Arial"/>
                <w:color w:val="000000" w:themeColor="text1"/>
                <w:sz w:val="18"/>
                <w:szCs w:val="21"/>
                <w:shd w:val="clear" w:color="auto" w:fill="FFFFFF"/>
              </w:rPr>
              <m:t>Y</m:t>
            </m:r>
          </m:e>
          <m:sub>
            <m:r>
              <w:rPr>
                <w:rFonts w:ascii="Cambria Math" w:hAnsi="Cambria Math" w:cs="Arial"/>
                <w:color w:val="000000" w:themeColor="text1"/>
                <w:sz w:val="18"/>
                <w:szCs w:val="21"/>
                <w:shd w:val="clear" w:color="auto" w:fill="FFFFFF"/>
              </w:rPr>
              <m:t>t</m:t>
            </m:r>
          </m:sub>
        </m:sSub>
        <m:r>
          <w:rPr>
            <w:rFonts w:ascii="Cambria Math" w:hAnsi="Cambria Math" w:cs="Arial"/>
            <w:color w:val="000000" w:themeColor="text1"/>
            <w:sz w:val="18"/>
            <w:szCs w:val="21"/>
            <w:shd w:val="clear" w:color="auto" w:fill="FFFFFF"/>
          </w:rPr>
          <m:t>~I</m:t>
        </m:r>
        <m:d>
          <m:dPr>
            <m:ctrlPr>
              <w:rPr>
                <w:rFonts w:ascii="Cambria Math" w:hAnsi="Cambria Math" w:cs="Arial"/>
                <w:i/>
                <w:color w:val="000000" w:themeColor="text1"/>
                <w:sz w:val="18"/>
                <w:szCs w:val="21"/>
                <w:shd w:val="clear" w:color="auto" w:fill="FFFFFF"/>
              </w:rPr>
            </m:ctrlPr>
          </m:dPr>
          <m:e>
            <m:r>
              <w:rPr>
                <w:rFonts w:ascii="Cambria Math" w:hAnsi="Cambria Math" w:cs="Arial"/>
                <w:color w:val="000000" w:themeColor="text1"/>
                <w:sz w:val="18"/>
                <w:szCs w:val="21"/>
                <w:shd w:val="clear" w:color="auto" w:fill="FFFFFF"/>
              </w:rPr>
              <m:t>d</m:t>
            </m:r>
          </m:e>
        </m:d>
      </m:oMath>
      <w:r>
        <w:rPr>
          <w:rFonts w:ascii="Arial" w:hAnsi="Arial" w:cs="Arial"/>
          <w:color w:val="000000" w:themeColor="text1"/>
          <w:sz w:val="18"/>
          <w:szCs w:val="21"/>
          <w:shd w:val="clear" w:color="auto" w:fill="FFFFFF"/>
        </w:rPr>
        <w:t xml:space="preserve">. Por exemplo, se uma série temporal, para ser estacionária, tem de ser diferenciada uma vez (isto é, alcançar às primeiras diferenças), essa série temporal é dia integrada de ordem um, e se denota por  </w:t>
      </w:r>
      <m:oMath>
        <m:sSub>
          <m:sSubPr>
            <m:ctrlPr>
              <w:rPr>
                <w:rFonts w:ascii="Cambria Math" w:hAnsi="Cambria Math" w:cs="Arial"/>
                <w:i/>
                <w:color w:val="000000" w:themeColor="text1"/>
                <w:sz w:val="18"/>
                <w:szCs w:val="21"/>
                <w:shd w:val="clear" w:color="auto" w:fill="FFFFFF"/>
              </w:rPr>
            </m:ctrlPr>
          </m:sSubPr>
          <m:e>
            <m:r>
              <w:rPr>
                <w:rFonts w:ascii="Cambria Math" w:hAnsi="Cambria Math" w:cs="Arial"/>
                <w:color w:val="000000" w:themeColor="text1"/>
                <w:sz w:val="18"/>
                <w:szCs w:val="21"/>
                <w:shd w:val="clear" w:color="auto" w:fill="FFFFFF"/>
              </w:rPr>
              <m:t>Y</m:t>
            </m:r>
          </m:e>
          <m:sub>
            <m:r>
              <w:rPr>
                <w:rFonts w:ascii="Cambria Math" w:hAnsi="Cambria Math" w:cs="Arial"/>
                <w:color w:val="000000" w:themeColor="text1"/>
                <w:sz w:val="18"/>
                <w:szCs w:val="21"/>
                <w:shd w:val="clear" w:color="auto" w:fill="FFFFFF"/>
              </w:rPr>
              <m:t>t</m:t>
            </m:r>
          </m:sub>
        </m:sSub>
        <m:r>
          <w:rPr>
            <w:rFonts w:ascii="Cambria Math" w:hAnsi="Cambria Math" w:cs="Arial"/>
            <w:color w:val="000000" w:themeColor="text1"/>
            <w:sz w:val="18"/>
            <w:szCs w:val="21"/>
            <w:shd w:val="clear" w:color="auto" w:fill="FFFFFF"/>
          </w:rPr>
          <m:t>~I</m:t>
        </m:r>
        <m:d>
          <m:dPr>
            <m:ctrlPr>
              <w:rPr>
                <w:rFonts w:ascii="Cambria Math" w:hAnsi="Cambria Math" w:cs="Arial"/>
                <w:i/>
                <w:color w:val="000000" w:themeColor="text1"/>
                <w:sz w:val="18"/>
                <w:szCs w:val="21"/>
                <w:shd w:val="clear" w:color="auto" w:fill="FFFFFF"/>
              </w:rPr>
            </m:ctrlPr>
          </m:dPr>
          <m:e>
            <m:r>
              <w:rPr>
                <w:rFonts w:ascii="Cambria Math" w:hAnsi="Cambria Math" w:cs="Arial"/>
                <w:color w:val="000000" w:themeColor="text1"/>
                <w:sz w:val="18"/>
                <w:szCs w:val="21"/>
                <w:shd w:val="clear" w:color="auto" w:fill="FFFFFF"/>
              </w:rPr>
              <m:t>1</m:t>
            </m:r>
          </m:e>
        </m:d>
      </m:oMath>
      <w:r>
        <w:rPr>
          <w:rFonts w:ascii="Arial" w:hAnsi="Arial" w:cs="Arial"/>
          <w:color w:val="000000" w:themeColor="text1"/>
          <w:sz w:val="18"/>
          <w:szCs w:val="21"/>
          <w:shd w:val="clear" w:color="auto" w:fill="FFFFFF"/>
        </w:rPr>
        <w:t xml:space="preserve">. Se uma série temporal é estacionária desde o início (isto é, não requer diferenciação), então essa série é dita integrada de ordem zero, e se denota por </w:t>
      </w:r>
      <m:oMath>
        <m:sSub>
          <m:sSubPr>
            <m:ctrlPr>
              <w:rPr>
                <w:rFonts w:ascii="Cambria Math" w:hAnsi="Cambria Math" w:cs="Arial"/>
                <w:i/>
                <w:color w:val="000000" w:themeColor="text1"/>
                <w:sz w:val="18"/>
                <w:szCs w:val="21"/>
                <w:shd w:val="clear" w:color="auto" w:fill="FFFFFF"/>
              </w:rPr>
            </m:ctrlPr>
          </m:sSubPr>
          <m:e>
            <m:r>
              <w:rPr>
                <w:rFonts w:ascii="Cambria Math" w:hAnsi="Cambria Math" w:cs="Arial"/>
                <w:color w:val="000000" w:themeColor="text1"/>
                <w:sz w:val="18"/>
                <w:szCs w:val="21"/>
                <w:shd w:val="clear" w:color="auto" w:fill="FFFFFF"/>
              </w:rPr>
              <m:t>Y</m:t>
            </m:r>
          </m:e>
          <m:sub>
            <m:r>
              <w:rPr>
                <w:rFonts w:ascii="Cambria Math" w:hAnsi="Cambria Math" w:cs="Arial"/>
                <w:color w:val="000000" w:themeColor="text1"/>
                <w:sz w:val="18"/>
                <w:szCs w:val="21"/>
                <w:shd w:val="clear" w:color="auto" w:fill="FFFFFF"/>
              </w:rPr>
              <m:t>t</m:t>
            </m:r>
          </m:sub>
        </m:sSub>
        <m:r>
          <w:rPr>
            <w:rFonts w:ascii="Cambria Math" w:hAnsi="Cambria Math" w:cs="Arial"/>
            <w:color w:val="000000" w:themeColor="text1"/>
            <w:sz w:val="18"/>
            <w:szCs w:val="21"/>
            <w:shd w:val="clear" w:color="auto" w:fill="FFFFFF"/>
          </w:rPr>
          <m:t>~I</m:t>
        </m:r>
        <m:d>
          <m:dPr>
            <m:ctrlPr>
              <w:rPr>
                <w:rFonts w:ascii="Cambria Math" w:hAnsi="Cambria Math" w:cs="Arial"/>
                <w:i/>
                <w:color w:val="000000" w:themeColor="text1"/>
                <w:sz w:val="18"/>
                <w:szCs w:val="21"/>
                <w:shd w:val="clear" w:color="auto" w:fill="FFFFFF"/>
              </w:rPr>
            </m:ctrlPr>
          </m:dPr>
          <m:e>
            <m:r>
              <w:rPr>
                <w:rFonts w:ascii="Cambria Math" w:hAnsi="Cambria Math" w:cs="Arial"/>
                <w:color w:val="000000" w:themeColor="text1"/>
                <w:sz w:val="18"/>
                <w:szCs w:val="21"/>
                <w:shd w:val="clear" w:color="auto" w:fill="FFFFFF"/>
              </w:rPr>
              <m:t>0</m:t>
            </m:r>
          </m:e>
        </m:d>
      </m:oMath>
      <w:r>
        <w:rPr>
          <w:rFonts w:ascii="Arial" w:hAnsi="Arial" w:cs="Arial"/>
          <w:color w:val="000000" w:themeColor="text1"/>
          <w:sz w:val="18"/>
          <w:szCs w:val="21"/>
          <w:shd w:val="clear" w:color="auto" w:fill="FFFFFF"/>
        </w:rPr>
        <w:t>. Assim, os termos “série temporal estacionária em nível” e “série temporal integrada de ordem zero” tem o mesmo significado (GUJARATI, 2006, p. 645).</w:t>
      </w:r>
    </w:p>
  </w:footnote>
  <w:footnote w:id="2">
    <w:p w14:paraId="25F5BA05" w14:textId="77777777" w:rsidR="00F475A3" w:rsidRDefault="00F475A3" w:rsidP="00B406F3">
      <w:pPr>
        <w:pStyle w:val="Textodenotaderodap"/>
        <w:contextualSpacing/>
        <w:jc w:val="both"/>
      </w:pPr>
      <w:r>
        <w:rPr>
          <w:rStyle w:val="Refdenotaderodap"/>
        </w:rPr>
        <w:footnoteRef/>
      </w:r>
      <w:r>
        <w:t xml:space="preserve"> </w:t>
      </w:r>
      <w:r w:rsidRPr="00C37936">
        <w:rPr>
          <w:rFonts w:ascii="Arial" w:hAnsi="Arial" w:cs="Arial"/>
          <w:sz w:val="18"/>
        </w:rPr>
        <w:t xml:space="preserve">A interpretação econômica da </w:t>
      </w:r>
      <w:proofErr w:type="spellStart"/>
      <w:r w:rsidRPr="00C37936">
        <w:rPr>
          <w:rFonts w:ascii="Arial" w:hAnsi="Arial" w:cs="Arial"/>
          <w:sz w:val="18"/>
        </w:rPr>
        <w:t>cointegração</w:t>
      </w:r>
      <w:proofErr w:type="spellEnd"/>
      <w:r w:rsidRPr="00C37936">
        <w:rPr>
          <w:rFonts w:ascii="Arial" w:hAnsi="Arial" w:cs="Arial"/>
          <w:sz w:val="18"/>
        </w:rPr>
        <w:t xml:space="preserve"> é que, se duas (ou mais) variáveis possuem uma relação de equilíbrio de longo prazo, então mesmo que as séries </w:t>
      </w:r>
      <w:r>
        <w:rPr>
          <w:rFonts w:ascii="Arial" w:hAnsi="Arial" w:cs="Arial"/>
          <w:sz w:val="18"/>
        </w:rPr>
        <w:t>tenham</w:t>
      </w:r>
      <w:r w:rsidRPr="00C37936">
        <w:rPr>
          <w:rFonts w:ascii="Arial" w:hAnsi="Arial" w:cs="Arial"/>
          <w:sz w:val="18"/>
        </w:rPr>
        <w:t xml:space="preserve"> tendências estocásticas (isto é, não são estacionárias), essas séries irão se mover juntas no tempo e a </w:t>
      </w:r>
      <w:r>
        <w:rPr>
          <w:rFonts w:ascii="Arial" w:hAnsi="Arial" w:cs="Arial"/>
          <w:sz w:val="18"/>
        </w:rPr>
        <w:t>combinação linear</w:t>
      </w:r>
      <w:r w:rsidRPr="00C37936">
        <w:rPr>
          <w:rFonts w:ascii="Arial" w:hAnsi="Arial" w:cs="Arial"/>
          <w:sz w:val="18"/>
        </w:rPr>
        <w:t xml:space="preserve"> entre elas será estável (estacionária).</w:t>
      </w:r>
    </w:p>
  </w:footnote>
  <w:footnote w:id="3">
    <w:p w14:paraId="53A35682" w14:textId="77777777" w:rsidR="00F475A3" w:rsidRPr="00345115" w:rsidRDefault="00F475A3" w:rsidP="00A7303A">
      <w:pPr>
        <w:pStyle w:val="Textodenotaderodap"/>
        <w:jc w:val="both"/>
        <w:rPr>
          <w:rFonts w:ascii="Arial" w:hAnsi="Arial" w:cs="Arial"/>
          <w:sz w:val="16"/>
          <w:szCs w:val="16"/>
        </w:rPr>
      </w:pPr>
      <w:r w:rsidRPr="00345115">
        <w:rPr>
          <w:rStyle w:val="Refdenotaderodap"/>
          <w:rFonts w:ascii="Arial" w:hAnsi="Arial" w:cs="Arial"/>
          <w:sz w:val="18"/>
          <w:szCs w:val="18"/>
        </w:rPr>
        <w:footnoteRef/>
      </w:r>
      <w:r w:rsidRPr="00345115">
        <w:rPr>
          <w:rFonts w:ascii="Arial" w:hAnsi="Arial" w:cs="Arial"/>
          <w:sz w:val="18"/>
          <w:szCs w:val="18"/>
        </w:rPr>
        <w:t xml:space="preserve"> </w:t>
      </w:r>
      <w:r w:rsidRPr="00345115">
        <w:rPr>
          <w:rFonts w:ascii="Arial" w:hAnsi="Arial" w:cs="Arial"/>
          <w:sz w:val="16"/>
          <w:szCs w:val="16"/>
        </w:rPr>
        <w:t xml:space="preserve">Esse conceito é utilizado pelo Fundo Monetário Internacional em sua base de dados e suas publicações, dentre as quais se destaca o </w:t>
      </w:r>
      <w:r w:rsidRPr="00345115">
        <w:rPr>
          <w:rFonts w:ascii="Arial" w:hAnsi="Arial" w:cs="Arial"/>
          <w:i/>
          <w:sz w:val="16"/>
          <w:szCs w:val="16"/>
        </w:rPr>
        <w:t xml:space="preserve">World </w:t>
      </w:r>
      <w:proofErr w:type="spellStart"/>
      <w:r w:rsidRPr="00345115">
        <w:rPr>
          <w:rFonts w:ascii="Arial" w:hAnsi="Arial" w:cs="Arial"/>
          <w:i/>
          <w:sz w:val="16"/>
          <w:szCs w:val="16"/>
        </w:rPr>
        <w:t>Economic</w:t>
      </w:r>
      <w:proofErr w:type="spellEnd"/>
      <w:r w:rsidRPr="00345115">
        <w:rPr>
          <w:rFonts w:ascii="Arial" w:hAnsi="Arial" w:cs="Arial"/>
          <w:i/>
          <w:sz w:val="16"/>
          <w:szCs w:val="16"/>
        </w:rPr>
        <w:t xml:space="preserve"> Outlook </w:t>
      </w:r>
      <w:proofErr w:type="spellStart"/>
      <w:r w:rsidRPr="00345115">
        <w:rPr>
          <w:rFonts w:ascii="Arial" w:hAnsi="Arial" w:cs="Arial"/>
          <w:i/>
          <w:sz w:val="16"/>
          <w:szCs w:val="16"/>
        </w:rPr>
        <w:t>Reports</w:t>
      </w:r>
      <w:proofErr w:type="spellEnd"/>
      <w:r w:rsidRPr="00345115">
        <w:rPr>
          <w:rFonts w:ascii="Arial" w:hAnsi="Arial" w:cs="Arial"/>
          <w:sz w:val="16"/>
          <w:szCs w:val="16"/>
        </w:rPr>
        <w:t>, publicado duas vezes ao ano.</w:t>
      </w:r>
    </w:p>
  </w:footnote>
  <w:footnote w:id="4">
    <w:p w14:paraId="3C3A917E" w14:textId="77777777" w:rsidR="00F475A3" w:rsidRPr="00345115" w:rsidRDefault="00F475A3" w:rsidP="00A7303A">
      <w:pPr>
        <w:pStyle w:val="Textodenotaderodap"/>
        <w:rPr>
          <w:rFonts w:ascii="Arial" w:hAnsi="Arial" w:cs="Arial"/>
          <w:sz w:val="18"/>
          <w:szCs w:val="18"/>
        </w:rPr>
      </w:pPr>
      <w:r w:rsidRPr="00345115">
        <w:rPr>
          <w:rStyle w:val="Refdenotaderodap"/>
          <w:rFonts w:ascii="Arial" w:hAnsi="Arial" w:cs="Arial"/>
          <w:sz w:val="16"/>
          <w:szCs w:val="16"/>
        </w:rPr>
        <w:footnoteRef/>
      </w:r>
      <w:r w:rsidRPr="00345115">
        <w:rPr>
          <w:rFonts w:ascii="Arial" w:hAnsi="Arial" w:cs="Arial"/>
          <w:sz w:val="16"/>
          <w:szCs w:val="16"/>
        </w:rPr>
        <w:t xml:space="preserve"> </w:t>
      </w:r>
      <w:hyperlink r:id="rId1" w:history="1">
        <w:r w:rsidRPr="00345115">
          <w:rPr>
            <w:rStyle w:val="Hyperlink"/>
            <w:rFonts w:ascii="Arial" w:hAnsi="Arial" w:cs="Arial"/>
            <w:sz w:val="16"/>
            <w:szCs w:val="16"/>
          </w:rPr>
          <w:t>https://data.oecd.org/gga/general-government-debt.htm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D019A" w14:textId="77777777" w:rsidR="00F475A3" w:rsidRDefault="00F475A3">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B066C" w14:textId="77777777" w:rsidR="00F475A3" w:rsidRDefault="00F475A3">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B25B9" w14:textId="77777777" w:rsidR="00F475A3" w:rsidRDefault="00F475A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62845"/>
    <w:multiLevelType w:val="multilevel"/>
    <w:tmpl w:val="FFBEB392"/>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137190"/>
    <w:multiLevelType w:val="hybridMultilevel"/>
    <w:tmpl w:val="051C51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1702B08"/>
    <w:multiLevelType w:val="hybridMultilevel"/>
    <w:tmpl w:val="3A506374"/>
    <w:lvl w:ilvl="0" w:tplc="04160001">
      <w:start w:val="1"/>
      <w:numFmt w:val="bullet"/>
      <w:lvlText w:val=""/>
      <w:lvlJc w:val="left"/>
      <w:pPr>
        <w:ind w:left="784" w:hanging="360"/>
      </w:pPr>
      <w:rPr>
        <w:rFonts w:ascii="Symbol" w:hAnsi="Symbol" w:hint="default"/>
      </w:rPr>
    </w:lvl>
    <w:lvl w:ilvl="1" w:tplc="04160003" w:tentative="1">
      <w:start w:val="1"/>
      <w:numFmt w:val="bullet"/>
      <w:lvlText w:val="o"/>
      <w:lvlJc w:val="left"/>
      <w:pPr>
        <w:ind w:left="1504" w:hanging="360"/>
      </w:pPr>
      <w:rPr>
        <w:rFonts w:ascii="Courier New" w:hAnsi="Courier New" w:cs="Courier New" w:hint="default"/>
      </w:rPr>
    </w:lvl>
    <w:lvl w:ilvl="2" w:tplc="04160005" w:tentative="1">
      <w:start w:val="1"/>
      <w:numFmt w:val="bullet"/>
      <w:lvlText w:val=""/>
      <w:lvlJc w:val="left"/>
      <w:pPr>
        <w:ind w:left="2224" w:hanging="360"/>
      </w:pPr>
      <w:rPr>
        <w:rFonts w:ascii="Wingdings" w:hAnsi="Wingdings" w:hint="default"/>
      </w:rPr>
    </w:lvl>
    <w:lvl w:ilvl="3" w:tplc="04160001" w:tentative="1">
      <w:start w:val="1"/>
      <w:numFmt w:val="bullet"/>
      <w:lvlText w:val=""/>
      <w:lvlJc w:val="left"/>
      <w:pPr>
        <w:ind w:left="2944" w:hanging="360"/>
      </w:pPr>
      <w:rPr>
        <w:rFonts w:ascii="Symbol" w:hAnsi="Symbol" w:hint="default"/>
      </w:rPr>
    </w:lvl>
    <w:lvl w:ilvl="4" w:tplc="04160003" w:tentative="1">
      <w:start w:val="1"/>
      <w:numFmt w:val="bullet"/>
      <w:lvlText w:val="o"/>
      <w:lvlJc w:val="left"/>
      <w:pPr>
        <w:ind w:left="3664" w:hanging="360"/>
      </w:pPr>
      <w:rPr>
        <w:rFonts w:ascii="Courier New" w:hAnsi="Courier New" w:cs="Courier New" w:hint="default"/>
      </w:rPr>
    </w:lvl>
    <w:lvl w:ilvl="5" w:tplc="04160005" w:tentative="1">
      <w:start w:val="1"/>
      <w:numFmt w:val="bullet"/>
      <w:lvlText w:val=""/>
      <w:lvlJc w:val="left"/>
      <w:pPr>
        <w:ind w:left="4384" w:hanging="360"/>
      </w:pPr>
      <w:rPr>
        <w:rFonts w:ascii="Wingdings" w:hAnsi="Wingdings" w:hint="default"/>
      </w:rPr>
    </w:lvl>
    <w:lvl w:ilvl="6" w:tplc="04160001" w:tentative="1">
      <w:start w:val="1"/>
      <w:numFmt w:val="bullet"/>
      <w:lvlText w:val=""/>
      <w:lvlJc w:val="left"/>
      <w:pPr>
        <w:ind w:left="5104" w:hanging="360"/>
      </w:pPr>
      <w:rPr>
        <w:rFonts w:ascii="Symbol" w:hAnsi="Symbol" w:hint="default"/>
      </w:rPr>
    </w:lvl>
    <w:lvl w:ilvl="7" w:tplc="04160003" w:tentative="1">
      <w:start w:val="1"/>
      <w:numFmt w:val="bullet"/>
      <w:lvlText w:val="o"/>
      <w:lvlJc w:val="left"/>
      <w:pPr>
        <w:ind w:left="5824" w:hanging="360"/>
      </w:pPr>
      <w:rPr>
        <w:rFonts w:ascii="Courier New" w:hAnsi="Courier New" w:cs="Courier New" w:hint="default"/>
      </w:rPr>
    </w:lvl>
    <w:lvl w:ilvl="8" w:tplc="04160005" w:tentative="1">
      <w:start w:val="1"/>
      <w:numFmt w:val="bullet"/>
      <w:lvlText w:val=""/>
      <w:lvlJc w:val="left"/>
      <w:pPr>
        <w:ind w:left="6544" w:hanging="360"/>
      </w:pPr>
      <w:rPr>
        <w:rFonts w:ascii="Wingdings" w:hAnsi="Wingdings" w:hint="default"/>
      </w:rPr>
    </w:lvl>
  </w:abstractNum>
  <w:abstractNum w:abstractNumId="3" w15:restartNumberingAfterBreak="0">
    <w:nsid w:val="5F615063"/>
    <w:multiLevelType w:val="hybridMultilevel"/>
    <w:tmpl w:val="5A165D80"/>
    <w:lvl w:ilvl="0" w:tplc="A27CEB1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7BCF1435"/>
    <w:multiLevelType w:val="multilevel"/>
    <w:tmpl w:val="86340648"/>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7C8"/>
    <w:rsid w:val="000536CC"/>
    <w:rsid w:val="00093B7E"/>
    <w:rsid w:val="000B5EF5"/>
    <w:rsid w:val="000D5BA9"/>
    <w:rsid w:val="00131E81"/>
    <w:rsid w:val="001822F9"/>
    <w:rsid w:val="00190DDA"/>
    <w:rsid w:val="001C3A92"/>
    <w:rsid w:val="001C5121"/>
    <w:rsid w:val="001D0FEB"/>
    <w:rsid w:val="001D3B09"/>
    <w:rsid w:val="00253BF1"/>
    <w:rsid w:val="00273343"/>
    <w:rsid w:val="00290041"/>
    <w:rsid w:val="00292ACE"/>
    <w:rsid w:val="002955BD"/>
    <w:rsid w:val="00337705"/>
    <w:rsid w:val="0034080D"/>
    <w:rsid w:val="00345115"/>
    <w:rsid w:val="00370BD4"/>
    <w:rsid w:val="0038665C"/>
    <w:rsid w:val="003B0A03"/>
    <w:rsid w:val="003C1346"/>
    <w:rsid w:val="00404AF7"/>
    <w:rsid w:val="00406678"/>
    <w:rsid w:val="00434918"/>
    <w:rsid w:val="00452EE8"/>
    <w:rsid w:val="00472AF0"/>
    <w:rsid w:val="00480FC2"/>
    <w:rsid w:val="004D28C2"/>
    <w:rsid w:val="00503090"/>
    <w:rsid w:val="0052471C"/>
    <w:rsid w:val="0052592D"/>
    <w:rsid w:val="00575A4F"/>
    <w:rsid w:val="0058106F"/>
    <w:rsid w:val="00622819"/>
    <w:rsid w:val="00631991"/>
    <w:rsid w:val="006B67C8"/>
    <w:rsid w:val="006E06D5"/>
    <w:rsid w:val="00743853"/>
    <w:rsid w:val="00772E99"/>
    <w:rsid w:val="007C68CC"/>
    <w:rsid w:val="007F54EB"/>
    <w:rsid w:val="00815392"/>
    <w:rsid w:val="008235BD"/>
    <w:rsid w:val="00882B94"/>
    <w:rsid w:val="008960C0"/>
    <w:rsid w:val="008D637A"/>
    <w:rsid w:val="00926A4F"/>
    <w:rsid w:val="009509A5"/>
    <w:rsid w:val="0099062F"/>
    <w:rsid w:val="009A3F3D"/>
    <w:rsid w:val="00A4173F"/>
    <w:rsid w:val="00A7303A"/>
    <w:rsid w:val="00AC33C9"/>
    <w:rsid w:val="00B04C9D"/>
    <w:rsid w:val="00B336FC"/>
    <w:rsid w:val="00B36F9C"/>
    <w:rsid w:val="00B406F3"/>
    <w:rsid w:val="00B810AE"/>
    <w:rsid w:val="00BF637F"/>
    <w:rsid w:val="00C05079"/>
    <w:rsid w:val="00C56CE0"/>
    <w:rsid w:val="00CD363D"/>
    <w:rsid w:val="00CE1920"/>
    <w:rsid w:val="00CF6DB4"/>
    <w:rsid w:val="00D032CE"/>
    <w:rsid w:val="00D402B9"/>
    <w:rsid w:val="00D8487F"/>
    <w:rsid w:val="00DC0F72"/>
    <w:rsid w:val="00DD4CE9"/>
    <w:rsid w:val="00E002A6"/>
    <w:rsid w:val="00E01C9E"/>
    <w:rsid w:val="00E21838"/>
    <w:rsid w:val="00E31C0E"/>
    <w:rsid w:val="00E345EF"/>
    <w:rsid w:val="00E40875"/>
    <w:rsid w:val="00E42BF2"/>
    <w:rsid w:val="00E71379"/>
    <w:rsid w:val="00E83F96"/>
    <w:rsid w:val="00E93221"/>
    <w:rsid w:val="00EA376B"/>
    <w:rsid w:val="00EB6E27"/>
    <w:rsid w:val="00F0005D"/>
    <w:rsid w:val="00F20EE0"/>
    <w:rsid w:val="00F35D09"/>
    <w:rsid w:val="00F37775"/>
    <w:rsid w:val="00F475A3"/>
    <w:rsid w:val="00F66763"/>
    <w:rsid w:val="00F933D0"/>
    <w:rsid w:val="00FB3AFD"/>
    <w:rsid w:val="00FD34BD"/>
    <w:rsid w:val="00FD6CB0"/>
    <w:rsid w:val="00FE564A"/>
    <w:rsid w:val="00FF7B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F4D2D"/>
  <w15:chartTrackingRefBased/>
  <w15:docId w15:val="{994CC510-6307-4A60-A999-722E7F751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6B67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unhideWhenUsed/>
    <w:qFormat/>
    <w:rsid w:val="006B67C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B67C8"/>
    <w:rPr>
      <w:rFonts w:asciiTheme="majorHAnsi" w:eastAsiaTheme="majorEastAsia" w:hAnsiTheme="majorHAnsi" w:cstheme="majorBidi"/>
      <w:color w:val="2F5496" w:themeColor="accent1" w:themeShade="BF"/>
      <w:sz w:val="32"/>
      <w:szCs w:val="32"/>
    </w:rPr>
  </w:style>
  <w:style w:type="character" w:customStyle="1" w:styleId="Ttulo2Char">
    <w:name w:val="Título 2 Char"/>
    <w:basedOn w:val="Fontepargpadro"/>
    <w:link w:val="Ttulo2"/>
    <w:uiPriority w:val="9"/>
    <w:rsid w:val="006B67C8"/>
    <w:rPr>
      <w:rFonts w:asciiTheme="majorHAnsi" w:eastAsiaTheme="majorEastAsia" w:hAnsiTheme="majorHAnsi" w:cstheme="majorBidi"/>
      <w:color w:val="2F5496" w:themeColor="accent1" w:themeShade="BF"/>
      <w:sz w:val="26"/>
      <w:szCs w:val="26"/>
    </w:rPr>
  </w:style>
  <w:style w:type="paragraph" w:styleId="PargrafodaLista">
    <w:name w:val="List Paragraph"/>
    <w:basedOn w:val="Normal"/>
    <w:uiPriority w:val="34"/>
    <w:qFormat/>
    <w:rsid w:val="00E01C9E"/>
    <w:pPr>
      <w:ind w:left="720"/>
      <w:contextualSpacing/>
    </w:pPr>
  </w:style>
  <w:style w:type="character" w:styleId="Refdecomentrio">
    <w:name w:val="annotation reference"/>
    <w:basedOn w:val="Fontepargpadro"/>
    <w:uiPriority w:val="99"/>
    <w:semiHidden/>
    <w:unhideWhenUsed/>
    <w:rsid w:val="00FB3AFD"/>
    <w:rPr>
      <w:sz w:val="16"/>
      <w:szCs w:val="16"/>
    </w:rPr>
  </w:style>
  <w:style w:type="paragraph" w:styleId="Textodecomentrio">
    <w:name w:val="annotation text"/>
    <w:basedOn w:val="Normal"/>
    <w:link w:val="TextodecomentrioChar"/>
    <w:uiPriority w:val="99"/>
    <w:semiHidden/>
    <w:unhideWhenUsed/>
    <w:rsid w:val="00FB3AF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B3AFD"/>
    <w:rPr>
      <w:sz w:val="20"/>
      <w:szCs w:val="20"/>
    </w:rPr>
  </w:style>
  <w:style w:type="paragraph" w:styleId="Assuntodocomentrio">
    <w:name w:val="annotation subject"/>
    <w:basedOn w:val="Textodecomentrio"/>
    <w:next w:val="Textodecomentrio"/>
    <w:link w:val="AssuntodocomentrioChar"/>
    <w:uiPriority w:val="99"/>
    <w:semiHidden/>
    <w:unhideWhenUsed/>
    <w:rsid w:val="00FB3AFD"/>
    <w:rPr>
      <w:b/>
      <w:bCs/>
    </w:rPr>
  </w:style>
  <w:style w:type="character" w:customStyle="1" w:styleId="AssuntodocomentrioChar">
    <w:name w:val="Assunto do comentário Char"/>
    <w:basedOn w:val="TextodecomentrioChar"/>
    <w:link w:val="Assuntodocomentrio"/>
    <w:uiPriority w:val="99"/>
    <w:semiHidden/>
    <w:rsid w:val="00FB3AFD"/>
    <w:rPr>
      <w:b/>
      <w:bCs/>
      <w:sz w:val="20"/>
      <w:szCs w:val="20"/>
    </w:rPr>
  </w:style>
  <w:style w:type="paragraph" w:styleId="Textodebalo">
    <w:name w:val="Balloon Text"/>
    <w:basedOn w:val="Normal"/>
    <w:link w:val="TextodebaloChar"/>
    <w:uiPriority w:val="99"/>
    <w:semiHidden/>
    <w:unhideWhenUsed/>
    <w:rsid w:val="00FB3AF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B3AFD"/>
    <w:rPr>
      <w:rFonts w:ascii="Segoe UI" w:hAnsi="Segoe UI" w:cs="Segoe UI"/>
      <w:sz w:val="18"/>
      <w:szCs w:val="18"/>
    </w:rPr>
  </w:style>
  <w:style w:type="paragraph" w:styleId="Textodenotaderodap">
    <w:name w:val="footnote text"/>
    <w:basedOn w:val="Normal"/>
    <w:link w:val="TextodenotaderodapChar"/>
    <w:uiPriority w:val="99"/>
    <w:semiHidden/>
    <w:unhideWhenUsed/>
    <w:rsid w:val="00CE1920"/>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CE1920"/>
    <w:rPr>
      <w:sz w:val="20"/>
      <w:szCs w:val="20"/>
    </w:rPr>
  </w:style>
  <w:style w:type="character" w:styleId="Refdenotaderodap">
    <w:name w:val="footnote reference"/>
    <w:basedOn w:val="Fontepargpadro"/>
    <w:uiPriority w:val="99"/>
    <w:semiHidden/>
    <w:unhideWhenUsed/>
    <w:rsid w:val="00CE1920"/>
    <w:rPr>
      <w:vertAlign w:val="superscript"/>
    </w:rPr>
  </w:style>
  <w:style w:type="character" w:styleId="Hyperlink">
    <w:name w:val="Hyperlink"/>
    <w:basedOn w:val="Fontepargpadro"/>
    <w:uiPriority w:val="99"/>
    <w:semiHidden/>
    <w:unhideWhenUsed/>
    <w:rsid w:val="00CE1920"/>
    <w:rPr>
      <w:color w:val="0000FF"/>
      <w:u w:val="single"/>
    </w:rPr>
  </w:style>
  <w:style w:type="paragraph" w:customStyle="1" w:styleId="Default">
    <w:name w:val="Default"/>
    <w:rsid w:val="0052471C"/>
    <w:pPr>
      <w:autoSpaceDE w:val="0"/>
      <w:autoSpaceDN w:val="0"/>
      <w:adjustRightInd w:val="0"/>
      <w:spacing w:after="0" w:line="240" w:lineRule="auto"/>
    </w:pPr>
    <w:rPr>
      <w:rFonts w:ascii="Times New Roman" w:hAnsi="Times New Roman" w:cs="Times New Roman"/>
      <w:color w:val="000000"/>
      <w:sz w:val="24"/>
      <w:szCs w:val="24"/>
    </w:rPr>
  </w:style>
  <w:style w:type="table" w:styleId="Tabelacomgrade">
    <w:name w:val="Table Grid"/>
    <w:basedOn w:val="Tabelanormal"/>
    <w:uiPriority w:val="39"/>
    <w:rsid w:val="00B810AE"/>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o">
    <w:name w:val="Revision"/>
    <w:hidden/>
    <w:uiPriority w:val="99"/>
    <w:semiHidden/>
    <w:rsid w:val="000B5EF5"/>
    <w:pPr>
      <w:spacing w:after="0" w:line="240" w:lineRule="auto"/>
    </w:pPr>
  </w:style>
  <w:style w:type="paragraph" w:styleId="Cabealho">
    <w:name w:val="header"/>
    <w:basedOn w:val="Normal"/>
    <w:link w:val="CabealhoChar"/>
    <w:uiPriority w:val="99"/>
    <w:unhideWhenUsed/>
    <w:rsid w:val="00370BD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70BD4"/>
  </w:style>
  <w:style w:type="paragraph" w:styleId="Rodap">
    <w:name w:val="footer"/>
    <w:basedOn w:val="Normal"/>
    <w:link w:val="RodapChar"/>
    <w:uiPriority w:val="99"/>
    <w:unhideWhenUsed/>
    <w:rsid w:val="00370BD4"/>
    <w:pPr>
      <w:tabs>
        <w:tab w:val="center" w:pos="4252"/>
        <w:tab w:val="right" w:pos="8504"/>
      </w:tabs>
      <w:spacing w:after="0" w:line="240" w:lineRule="auto"/>
    </w:pPr>
  </w:style>
  <w:style w:type="character" w:customStyle="1" w:styleId="RodapChar">
    <w:name w:val="Rodapé Char"/>
    <w:basedOn w:val="Fontepargpadro"/>
    <w:link w:val="Rodap"/>
    <w:uiPriority w:val="99"/>
    <w:rsid w:val="00370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data.oecd.org/gga/general-government-debt.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60890-181C-4A04-A965-2EF4DD6B5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6038</Words>
  <Characters>32608</Characters>
  <Application>Microsoft Office Word</Application>
  <DocSecurity>0</DocSecurity>
  <Lines>271</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Lopes Souto</dc:creator>
  <cp:keywords/>
  <dc:description/>
  <cp:lastModifiedBy>Gabriela Lopes Souto</cp:lastModifiedBy>
  <cp:revision>2</cp:revision>
  <dcterms:created xsi:type="dcterms:W3CDTF">2019-08-14T17:52:00Z</dcterms:created>
  <dcterms:modified xsi:type="dcterms:W3CDTF">2019-08-14T17:52:00Z</dcterms:modified>
</cp:coreProperties>
</file>